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774f8a06c4e5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1815-S2.E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WILJ</w:t>
        </w:r>
      </w:r>
      <w:r>
        <w:rPr>
          <w:b/>
        </w:rPr>
        <w:t xml:space="preserve"> </w:t>
        <w:r>
          <w:rPr/>
          <w:t xml:space="preserve">S5322.1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1815</w:t>
      </w:r>
      <w:r>
        <w:t xml:space="preserve"> -</w:t>
      </w:r>
      <w:r>
        <w:t xml:space="preserve"> </w:t>
        <w:t xml:space="preserve">S AMD TO S AMD (S-5266.3/22)</w:t>
      </w:r>
      <w:r>
        <w:t xml:space="preserve"> </w:t>
      </w:r>
      <w:r>
        <w:rPr>
          <w:b/>
        </w:rPr>
        <w:t xml:space="preserve">1386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J.</w:t>
      </w:r>
    </w:p>
    <w:p>
      <w:pPr>
        <w:jc w:val="right"/>
      </w:pPr>
      <w:r>
        <w:rPr>
          <w:b/>
        </w:rPr>
        <w:t xml:space="preserve">NOT ADOPTED 03/04/2022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after line 37,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10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9A</w:t>
      </w:r>
      <w:r>
        <w:rPr/>
        <w:t xml:space="preserve">.</w:t>
      </w:r>
      <w:r>
        <w:t xml:space="preserve">56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Where neither party to a transaction involving the sale of a catalytic converter that has been removed from a vehicle maintains a scrap metal business license under chapter 19.290 RCW or a vehicle wrecker's license under chapter 46.80 RCW, the seller shall prepare and furnish to the purchaser a bill of sale. The bill of sale shall include: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date of the sale;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full name, address, and verification of the seller's identity;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vehicle identification number from which the catalytic converter was removed.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copy of each bill of sale must be maintained on acquired catalytic converters for three years from the date of sale.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person who knowingly fails to furnish a bill of sale at the time of the transaction, or knowingly makes a false representation on a bill of sale, as required by this section is guilty of a class C felony.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 person who knowingly fails to maintain a bill of sale as required by this section is guilty of a gross misdemeanor.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Each catalytic converter involved in a violation of this section is subject to an additional criminal penalty of $5,000 per catalytic converter. Half of the additional criminal penalty shall be retained by the local jurisdiction; 10 percent shall be directed to the no-buy list database program in RCW 43.43.885; and the remainder shall be directed to the Washington association of sheriffs and police chiefs solely for grants issued under RCW 36.28A.240."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14, after "adding" strike "a new section" and insert "new sections"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 bill of sale for transactions involving a catalytic converter that has been removed from a vehicle where neither party to the transaction is a licensed vehicle wrecker or scrap metal business, and prescribes penalties.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d224242295493d" /></Relationships>
</file>