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8ca2f9bd145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S5313.1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"shall" strike "not" and insert "</w:t>
      </w:r>
      <w:r>
        <w:t>((</w:t>
      </w:r>
      <w:r>
        <w:rPr>
          <w:strike/>
        </w:rPr>
        <w:t xml:space="preserve">not</w:t>
      </w:r>
      <w:r>
        <w:t>))</w:t>
      </w:r>
      <w:r>
        <w:rPr/>
        <w:t xml:space="preserve"> </w:t>
      </w:r>
      <w:r>
        <w:rPr>
          <w:u w:val="single"/>
        </w:rPr>
        <w:t xml:space="preserve">only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"repealed," strike all material through "administration" on line 6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if legislation is enacted that specifically authorizes the adoption of rules on this matter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if legislation is enacted that specifically authorizes the adoption of rules on this matter.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cb3e86524a8e" /></Relationships>
</file>