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d06a653074d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S5218.2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30, after "injuries." strike all material through "costs." on line 32 and insert "In 2006, the state supreme court ruled that "the language of I-841 is plain and unambiguous. Nothing in I-841 suggests that L&amp;I is stripped of its general regulatory authority to address serious or deadly ergonomics-related workplace hazards by way of RCW 49.17.060(1).""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to the intent section regarding a state Supreme Court case on the authority of the Department of Labor and Industries to address serious ergonomics-related hazards through its general safety regulatory authority. Removes legislative finding that the absence of regulatory authority has contributed to increases in workplace injuries and costs.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b1b1dd28a4c81" /></Relationships>
</file>