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998621a3e41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1432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S5304.1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"injuries," strike all material through "practices." on line 19 and insert "however, in 2006, the state supreme court ruled that "the language of I-841 is plain and unambiguous. Nothing in I-841 suggests that L&amp;I is stripped of its general regulatory authority to address serious or deadly ergonomics-related workplace hazards by way of RCW 49.17.060(1).""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intent section language regarding the severity of work-related musculoskeletal injuries with findings regarding a state Supreme Court case on the authority of the Department of Labor and Industries to address serious ergonomics-related hazards through its general safety regulatory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2117dde57472c" /></Relationships>
</file>