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236f8adbc4d6a" /></Relationships>
</file>

<file path=word/document.xml><?xml version="1.0" encoding="utf-8"?>
<w:document xmlns:w="http://schemas.openxmlformats.org/wordprocessingml/2006/main">
  <w:body>
    <w:p>
      <w:r>
        <w:rPr>
          <w:b/>
        </w:rPr>
        <w:r>
          <w:rPr/>
          <w:t xml:space="preserve">1866-S.E</w:t>
        </w:r>
      </w:r>
      <w:r>
        <w:rPr>
          <w:b/>
        </w:rPr>
        <w:t xml:space="preserve"> </w:t>
        <w:t xml:space="preserve">AMS</w:t>
      </w:r>
      <w:r>
        <w:rPr>
          <w:b/>
        </w:rPr>
        <w:t xml:space="preserve"> </w:t>
        <w:r>
          <w:rPr/>
          <w:t xml:space="preserve">WM</w:t>
        </w:r>
      </w:r>
      <w:r>
        <w:rPr>
          <w:b/>
        </w:rPr>
        <w:t xml:space="preserve"> </w:t>
        <w:r>
          <w:rPr/>
          <w:t xml:space="preserve">S5120.1</w:t>
        </w:r>
      </w:r>
      <w:r>
        <w:rPr>
          <w:b/>
        </w:rPr>
        <w:t xml:space="preserve"> - NOT FOR FLOOR USE</w:t>
      </w:r>
    </w:p>
    <w:p>
      <w:pPr>
        <w:ind w:left="0" w:right="0" w:firstLine="576"/>
      </w:pP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November 1, 2022,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behavioral health administrative services organizations, the coordinating entity or entities,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in consultation with foundational community support providers and their stakeholders, shall engage each region on case management tools and programs, evaluate effectiveness, and inform the appropriate committees of the legislature on the use of case management tools. Case management shall also be a regular item of engagement in the work group. The authority shall convene the work group at least once each quarter and may expand upon, but not duplicate, existing work groups or advisory councils at the authority or other state agencies.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research, identify, and implement statewide universal measures to identify and consider social determinants of health domains, including housing, food security, transportation, financial strain, and interpersonal safety. The authority shall select an accredited or nationally vetted tool,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 The authority shall inform the governor and the appropriate committees of the legislature on progress to this end.</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 or their designee.</w:t>
      </w:r>
    </w:p>
    <w:p>
      <w:pPr>
        <w:spacing w:before="0" w:after="0" w:line="408" w:lineRule="exact"/>
        <w:ind w:left="0" w:right="0" w:firstLine="576"/>
        <w:jc w:val="left"/>
      </w:pPr>
      <w:r>
        <w:rPr/>
        <w:t xml:space="preserve">(3) The office of apple health and homes is responsible for leading efforts under this section and coordinating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(f)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or the construction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construct permanent supportive housing units or to acquire real property for quick conversion into permanent supportive housing units which may include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Projects acquired or constructed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including but not limited to:</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construction or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(5)(a) The funding in this section shall be allocated on an ongoing basis until all funds are expended and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(b) If the department of commerce receives simultaneous applications for funding under this program, proposals that reach the greatest public benefit, as defined by the department, must be prioritized. For the purposes of this subsection, "greatest public benefit" must include, but is not limited to:</w:t>
      </w:r>
    </w:p>
    <w:p>
      <w:pPr>
        <w:spacing w:before="0" w:after="0" w:line="408" w:lineRule="exact"/>
        <w:ind w:left="0" w:right="0" w:firstLine="576"/>
        <w:jc w:val="left"/>
      </w:pPr>
      <w:r>
        <w:rPr/>
        <w:t xml:space="preserve">(i) The greatest number of qualifying permanent supportive housing units; and</w:t>
      </w:r>
    </w:p>
    <w:p>
      <w:pPr>
        <w:spacing w:before="0" w:after="0" w:line="408" w:lineRule="exact"/>
        <w:ind w:left="0" w:right="0" w:firstLine="576"/>
        <w:jc w:val="left"/>
      </w:pPr>
      <w:r>
        <w:rPr/>
        <w:t xml:space="preserve">(ii) The scarcity of the permanent supportive housing units applied for compared to the number of available permanent supportive housing units in the same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On page 1, line 3 of the title, after "housing;" strike the remainder of the title and insert "amending RCW 36.22.176; adding new sections to chapter 74.09 RCW; adding new sections to chapter 43.330 RCW; and creating new sections."</w:t>
      </w:r>
    </w:p>
    <w:p>
      <w:pPr>
        <w:spacing w:before="0" w:after="0" w:line="408" w:lineRule="exact"/>
        <w:ind w:left="0" w:right="0" w:firstLine="576"/>
        <w:jc w:val="left"/>
      </w:pPr>
      <w:r>
        <w:rPr>
          <w:u w:val="single"/>
        </w:rPr>
        <w:t xml:space="preserve">EFFECT:</w:t>
      </w:r>
      <w:r>
        <w:rPr/>
        <w:t xml:space="preserve"> Removes the requirement for the Health Care Authority (HCA) to convene key stakeholders to discuss program implementation and approaches with aligning managed care organizations with coordinating community support services. Modifies the representatives HCA may include in their work group for aligning foundational community supports (FCS) with the program's housing benefit so that cities and counties are removed and behavioral health administrative services organizations and the coordinating entity or entities are added. Clarifies that HCA may expand upon, but not duplicate, existing work groups or advisory councils at HCA or other state agencies when implementing the work group for aligning the FCS benefit with the housing benefit. Requires HCA to inform the governor and appropriate legislative committees of their progress for implementing a statewide tool to measure and screen for social determinants of health. Specifies that funding for the department of commerce's newly established rapid permanent supportive housing and acquisition and development program must be allocated on an ongoing basis until all funds are expended and can be used for construction.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17532e3354e53" /></Relationships>
</file>