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96f2d7abb46da" /></Relationships>
</file>

<file path=word/document.xml><?xml version="1.0" encoding="utf-8"?>
<w:document xmlns:w="http://schemas.openxmlformats.org/wordprocessingml/2006/main">
  <w:body>
    <w:p>
      <w:r>
        <w:rPr>
          <w:b/>
        </w:rPr>
        <w:r>
          <w:rPr/>
          <w:t xml:space="preserve">1901-S</w:t>
        </w:r>
      </w:r>
      <w:r>
        <w:rPr>
          <w:b/>
        </w:rPr>
        <w:t xml:space="preserve"> </w:t>
        <w:t xml:space="preserve">AMS</w:t>
      </w:r>
      <w:r>
        <w:rPr>
          <w:b/>
        </w:rPr>
        <w:t xml:space="preserve"> </w:t>
        <w:r>
          <w:rPr/>
          <w:t xml:space="preserve">LAW</w:t>
        </w:r>
      </w:r>
      <w:r>
        <w:rPr>
          <w:b/>
        </w:rPr>
        <w:t xml:space="preserve"> </w:t>
        <w:r>
          <w:rPr/>
          <w:t xml:space="preserve">S4578.2</w:t>
        </w:r>
      </w:r>
      <w:r>
        <w:rPr>
          <w:b/>
        </w:rPr>
        <w:t xml:space="preserve"> - NOT FOR FLOOR USE</w:t>
      </w:r>
    </w:p>
    <w:p>
      <w:pPr>
        <w:ind w:left="0" w:right="0" w:firstLine="576"/>
      </w:pPr>
    </w:p>
    <w:p>
      <w:pPr>
        <w:spacing w:before="480" w:after="0" w:line="408" w:lineRule="exact"/>
      </w:pPr>
      <w:r>
        <w:rPr>
          <w:b/>
          <w:u w:val="single"/>
        </w:rPr>
        <w:t xml:space="preserve">SHB 1901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u w:val="single"/>
        </w:rPr>
        <w:t xml:space="preserve">(i) Intimidation or controlling or compelling conduct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u w:val="single"/>
        </w:rPr>
        <w:t xml:space="preserve">(D) Driving recklessly with the other party or minor children in the vehicle;</w:t>
      </w:r>
    </w:p>
    <w:p>
      <w:pPr>
        <w:spacing w:before="0" w:after="0" w:line="408" w:lineRule="exact"/>
        <w:ind w:left="0" w:right="0" w:firstLine="576"/>
        <w:jc w:val="left"/>
      </w:pPr>
      <w:r>
        <w:rPr>
          <w:u w:val="single"/>
        </w:rPr>
        <w:t xml:space="preserve">(E) Communicating, directly or indirectly, the intent to:</w:t>
      </w:r>
    </w:p>
    <w:p>
      <w:pPr>
        <w:spacing w:before="0" w:after="0" w:line="408" w:lineRule="exact"/>
        <w:ind w:left="0" w:right="0" w:firstLine="576"/>
        <w:jc w:val="left"/>
      </w:pPr>
      <w:r>
        <w:rPr>
          <w:u w:val="single"/>
        </w:rPr>
        <w:t xml:space="preserve">(I) Harm the other party's children, family members, friends, or pets, including by use of physical forms of violence;</w:t>
      </w:r>
    </w:p>
    <w:p>
      <w:pPr>
        <w:spacing w:before="0" w:after="0" w:line="408" w:lineRule="exact"/>
        <w:ind w:left="0" w:right="0" w:firstLine="576"/>
        <w:jc w:val="left"/>
      </w:pPr>
      <w:r>
        <w:rPr>
          <w:u w:val="single"/>
        </w:rPr>
        <w:t xml:space="preserve">(II) Harm the other party's career;</w:t>
      </w:r>
    </w:p>
    <w:p>
      <w:pPr>
        <w:spacing w:before="0" w:after="0" w:line="408" w:lineRule="exact"/>
        <w:ind w:left="0" w:right="0" w:firstLine="576"/>
        <w:jc w:val="left"/>
      </w:pPr>
      <w:r>
        <w:rPr>
          <w:u w:val="single"/>
        </w:rPr>
        <w:t xml:space="preserve">(III) Attempt suicide or other acts of self-harm; or</w:t>
      </w:r>
    </w:p>
    <w:p>
      <w:pPr>
        <w:spacing w:before="0" w:after="0" w:line="408" w:lineRule="exact"/>
        <w:ind w:left="0" w:right="0" w:firstLine="576"/>
        <w:jc w:val="left"/>
      </w:pPr>
      <w:r>
        <w:rPr>
          <w:u w:val="single"/>
        </w:rPr>
        <w:t xml:space="preserve">(IV) Contact local or federal agencies based on actual or suspected immigration status;</w:t>
      </w:r>
    </w:p>
    <w:p>
      <w:pPr>
        <w:spacing w:before="0" w:after="0" w:line="408" w:lineRule="exact"/>
        <w:ind w:left="0" w:right="0" w:firstLine="576"/>
        <w:jc w:val="left"/>
      </w:pPr>
      <w:r>
        <w:rPr>
          <w:u w:val="single"/>
        </w:rPr>
        <w:t xml:space="preserve">(F) Exerting control over the other party's identity documents;</w:t>
      </w:r>
    </w:p>
    <w:p>
      <w:pPr>
        <w:spacing w:before="0" w:after="0" w:line="408" w:lineRule="exact"/>
        <w:ind w:left="0" w:right="0" w:firstLine="576"/>
        <w:jc w:val="left"/>
      </w:pPr>
      <w:r>
        <w:rPr>
          <w:u w:val="single"/>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(H)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Engaging in psychological aggression, including inflicting fear, humiliating, degrading, or punishing the other party.</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w:t>
      </w:r>
      <w:r>
        <w:rPr>
          <w:u w:val="single"/>
        </w:rPr>
        <w:t xml:space="preserve">, including a certified copy of the service packet that consists of all documents that are being served on the respondent</w:t>
      </w:r>
      <w:r>
        <w:rPr/>
        <w:t xml:space="preserv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10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10th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p>
    <w:p>
      <w:pPr>
        <w:spacing w:before="0" w:after="0" w:line="408" w:lineRule="exact"/>
        <w:ind w:left="0" w:right="0" w:firstLine="576"/>
        <w:jc w:val="left"/>
      </w:pPr>
      <w:r>
        <w:rPr>
          <w:u w:val="single"/>
        </w:rPr>
        <w:t xml:space="preserve">(6)</w:t>
      </w:r>
      <w:r>
        <w:rPr/>
        <w:t xml:space="preserve"> If the court continues </w:t>
      </w:r>
      <w:r>
        <w:t>((</w:t>
      </w:r>
      <w:r>
        <w:rPr>
          <w:strike/>
        </w:rPr>
        <w:t xml:space="preserve">the</w:t>
      </w:r>
      <w:r>
        <w:t>))</w:t>
      </w:r>
      <w:r>
        <w:rPr/>
        <w:t xml:space="preserve"> </w:t>
      </w:r>
      <w:r>
        <w:rPr>
          <w:u w:val="single"/>
        </w:rPr>
        <w:t xml:space="preserve">a</w:t>
      </w:r>
      <w:r>
        <w:rPr/>
        <w:t xml:space="preserve"> hearing </w:t>
      </w:r>
      <w:r>
        <w:rPr>
          <w:u w:val="single"/>
        </w:rPr>
        <w:t xml:space="preserve">for any reason</w:t>
      </w:r>
      <w:r>
        <w:rPr/>
        <w:t xml:space="preserve">,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w:t>
      </w:r>
      <w:r>
        <w:t>((</w:t>
      </w:r>
      <w:r>
        <w:rPr>
          <w:strike/>
        </w:rPr>
        <w:t xml:space="preserve">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and inform </w:t>
      </w:r>
      <w:r>
        <w:t>((</w:t>
      </w:r>
      <w:r>
        <w:rPr>
          <w:strike/>
        </w:rPr>
        <w:t xml:space="preserve">parties and witnesses</w:t>
      </w:r>
      <w:r>
        <w:t>))</w:t>
      </w:r>
      <w:r>
        <w:rPr/>
        <w:t xml:space="preserve"> </w:t>
      </w:r>
      <w:r>
        <w:rPr>
          <w:u w:val="single"/>
        </w:rPr>
        <w:t xml:space="preserve">them</w:t>
      </w:r>
      <w:r>
        <w:rPr/>
        <w:t xml:space="preserve"> of these safety considerations. Materials available to </w:t>
      </w:r>
      <w:r>
        <w:t>((</w:t>
      </w:r>
      <w:r>
        <w:rPr>
          <w:strike/>
        </w:rPr>
        <w:t xml:space="preserve">parties and witnesses</w:t>
      </w:r>
      <w:r>
        <w:t>))</w:t>
      </w:r>
      <w:r>
        <w:rPr/>
        <w:t xml:space="preserve"> </w:t>
      </w:r>
      <w:r>
        <w:rPr>
          <w:u w:val="single"/>
        </w:rPr>
        <w:t xml:space="preserve">persons</w:t>
      </w:r>
      <w:r>
        <w:rPr/>
        <w:t xml:space="preserve">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250</w:t>
      </w:r>
      <w:r>
        <w:rPr/>
        <w:t xml:space="preserve"> and 2021 c 215 s 34 are each amended to read as follows:</w:t>
      </w:r>
    </w:p>
    <w:p>
      <w:pPr>
        <w:spacing w:before="0" w:after="0" w:line="408" w:lineRule="exact"/>
        <w:ind w:left="0" w:right="0" w:firstLine="576"/>
        <w:jc w:val="left"/>
      </w:pPr>
      <w:r>
        <w:rPr/>
        <w:t xml:space="preserve">(1) Whether or not the petitioner has retained an attorney, a sexual assault or domestic violence advocate, as defined in RCW 5.60.060, shall be allowed to accompany the petitioner</w:t>
      </w:r>
      <w:r>
        <w:rPr>
          <w:u w:val="single"/>
        </w:rPr>
        <w:t xml:space="preserve">, or appear remotely with the petitioner,</w:t>
      </w:r>
      <w:r>
        <w:rPr/>
        <w:t xml:space="preserve">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w:t>
      </w:r>
      <w:r>
        <w:t>((</w:t>
      </w:r>
      <w:r>
        <w:rPr>
          <w:strike/>
        </w:rPr>
        <w:t xml:space="preserve">, if a petitioner does not have</w:t>
      </w:r>
      <w:r>
        <w:t>))</w:t>
      </w:r>
      <w:r>
        <w:rPr/>
        <w:t xml:space="preserve"> </w:t>
      </w:r>
      <w:r>
        <w:rPr>
          <w:u w:val="single"/>
        </w:rPr>
        <w:t xml:space="preserve">or has</w:t>
      </w:r>
      <w:r>
        <w:rPr/>
        <w:t xml:space="preserve"> an advocate, the petitioner shall be allowed a support person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w:t>
      </w:r>
      <w:r>
        <w:t>((</w:t>
      </w:r>
      <w:r>
        <w:rPr>
          <w:strike/>
        </w:rPr>
        <w:t xml:space="preserve">the petitioner alleges</w:t>
      </w:r>
      <w:r>
        <w:t>))</w:t>
      </w:r>
      <w:r>
        <w:rPr/>
        <w:t xml:space="preserve"> that </w:t>
      </w:r>
      <w:r>
        <w:rPr>
          <w:u w:val="single"/>
        </w:rPr>
        <w:t xml:space="preserve">serious immediate harm or</w:t>
      </w:r>
      <w:r>
        <w:rPr/>
        <w:t xml:space="preserve">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w:t>
      </w:r>
      <w:r>
        <w:t>((</w:t>
      </w:r>
      <w:r>
        <w:rPr>
          <w:strike/>
        </w:rPr>
        <w:t xml:space="preserve">The court may not order the petitioner to pay the respondent's attorneys' fees or other costs.</w:t>
      </w:r>
    </w:p>
    <w:p>
      <w:pPr>
        <w:spacing w:before="0" w:after="0" w:line="408" w:lineRule="exact"/>
        <w:ind w:left="0" w:right="0" w:firstLine="576"/>
        <w:jc w:val="left"/>
      </w:pPr>
      <w:r>
        <w:rPr>
          <w:strike/>
        </w:rPr>
        <w:t xml:space="preserve">(c)</w:t>
      </w:r>
      <w:r>
        <w:t>))</w:t>
      </w:r>
      <w:r>
        <w:rPr/>
        <w:t xml:space="preserve">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w:t>
      </w:r>
      <w:r>
        <w:rPr>
          <w:u w:val="single"/>
        </w:rPr>
        <w:t xml:space="preserve">Any surrendered firearms must be handled and stored properly to prevent damage or degradation in appearance or function, and the condition of the surrendered firearms documented, including by digital photograph.</w:t>
      </w:r>
      <w:r>
        <w:rPr/>
        <w:t xml:space="preserve">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555</w:t>
      </w:r>
      <w:r>
        <w:rPr/>
        <w:t xml:space="preserve"> and 2021 c 215 s 66 are each amended to read as follows:</w:t>
      </w:r>
    </w:p>
    <w:p>
      <w:pPr>
        <w:spacing w:before="0" w:after="0" w:line="408" w:lineRule="exact"/>
        <w:ind w:left="0" w:right="0" w:firstLine="576"/>
        <w:jc w:val="left"/>
      </w:pPr>
      <w:r>
        <w:rPr>
          <w:u w:val="single"/>
        </w:rPr>
        <w:t xml:space="preserve">(1)</w:t>
      </w:r>
      <w:r>
        <w:rPr/>
        <w:t xml:space="preserve"> To prevent the issuance of competing protection orders in different courts and to give courts needed information for the issuance of orders, the judicial information system </w:t>
      </w:r>
      <w:r>
        <w:rPr>
          <w:u w:val="single"/>
        </w:rPr>
        <w:t xml:space="preserve">or alternative databases</w:t>
      </w:r>
      <w:r>
        <w:rPr/>
        <w:t xml:space="preserve"> must be available in each district, municipal, and superior court, and must include a database containing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names of the parties and the cause number for every order of protection issued under this chapter, </w:t>
      </w:r>
      <w:r>
        <w:rPr>
          <w:u w:val="single"/>
        </w:rPr>
        <w:t xml:space="preserve">protection orders provided by military and tribal courts,</w:t>
      </w:r>
      <w:r>
        <w:rPr/>
        <w:t xml:space="preserve">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w:t>
      </w:r>
      <w:r>
        <w:rPr>
          <w:u w:val="single"/>
        </w:rPr>
        <w:t xml:space="preserve">complete</w:t>
      </w:r>
      <w:r>
        <w:rPr/>
        <w:t xml:space="preserve"> criminal history of the parties;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Other relevant information necessary to assist courts in issuing orders under this chapter as determined by the judicial information system committee.</w:t>
      </w:r>
    </w:p>
    <w:p>
      <w:pPr>
        <w:spacing w:before="0" w:after="0" w:line="408" w:lineRule="exact"/>
        <w:ind w:left="0" w:right="0" w:firstLine="576"/>
        <w:jc w:val="left"/>
      </w:pPr>
      <w:r>
        <w:rPr>
          <w:u w:val="single"/>
        </w:rPr>
        <w:t xml:space="preserve">(2) Information within the database must be easily accessible and accurately updated as soon as possible but no later than within one judicial day.</w:t>
      </w:r>
    </w:p>
    <w:p>
      <w:pPr>
        <w:spacing w:before="0" w:after="0" w:line="408" w:lineRule="exact"/>
        <w:ind w:left="0" w:right="0" w:firstLine="576"/>
        <w:jc w:val="left"/>
      </w:pPr>
      <w:r>
        <w:rPr>
          <w:u w:val="single"/>
        </w:rPr>
        <w:t xml:space="preserve">(3) A document viewing system must be available as part of the judicial information system or other databases used by the court, so that in addition to having access to the summary information in subsection (1) of this section, the court is able to view any protection order filed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gender and justice commission, through its E2SHB 1320 stakeholder work groups, and in consultation with the Washington state center for court research, shall include in their 2022 work consideration of a study regarding how the inclusion of coercive control under this act helps to further realize the legislative intent of the law to increase safety for victims by obtaining effective legal protection apart from, or in addition to, the criminal legal system. The possible parameters for such a study would be as follows:</w:t>
      </w:r>
    </w:p>
    <w:p>
      <w:pPr>
        <w:spacing w:before="0" w:after="0" w:line="408" w:lineRule="exact"/>
        <w:ind w:left="0" w:right="0" w:firstLine="576"/>
        <w:jc w:val="left"/>
      </w:pPr>
      <w:r>
        <w:rPr/>
        <w:t xml:space="preserve">(a) The center for court research may engage or partner with other researchers with expertise in intimate partner violence, coercive control, civil protection order processes, and related research to conduct the study or help with study design, duration, methods, measurements, data collection, and analysis.</w:t>
      </w:r>
    </w:p>
    <w:p>
      <w:pPr>
        <w:spacing w:before="0" w:after="0" w:line="408" w:lineRule="exact"/>
        <w:ind w:left="0" w:right="0" w:firstLine="576"/>
        <w:jc w:val="left"/>
      </w:pPr>
      <w:r>
        <w:rPr/>
        <w:t xml:space="preserve">(b) The administrative office of the courts and superior and district courts shall provide the center for court research with necessary data to conduct the study, as requested by the center for court research.</w:t>
      </w:r>
    </w:p>
    <w:p>
      <w:pPr>
        <w:spacing w:before="0" w:after="0" w:line="408" w:lineRule="exact"/>
        <w:ind w:left="0" w:right="0" w:firstLine="576"/>
        <w:jc w:val="left"/>
      </w:pPr>
      <w:r>
        <w:rPr/>
        <w:t xml:space="preserve">(c) The study may include, if determined by the gender and justice commission's E2SHB 1320 stakeholder work groups and the center for court research to be empirically useful and readily measurable through available data, measurements such as:</w:t>
      </w:r>
    </w:p>
    <w:p>
      <w:pPr>
        <w:spacing w:before="0" w:after="0" w:line="408" w:lineRule="exact"/>
        <w:ind w:left="0" w:right="0" w:firstLine="576"/>
        <w:jc w:val="left"/>
      </w:pPr>
      <w:r>
        <w:rPr/>
        <w:t xml:space="preserve">(i) The ability of survivors to obtain protection orders that fully address the nature of the harm or threat of harm they are experiencing;</w:t>
      </w:r>
    </w:p>
    <w:p>
      <w:pPr>
        <w:spacing w:before="0" w:after="0" w:line="408" w:lineRule="exact"/>
        <w:ind w:left="0" w:right="0" w:firstLine="576"/>
        <w:jc w:val="left"/>
      </w:pPr>
      <w:r>
        <w:rPr/>
        <w:t xml:space="preserve">(ii) The frequency of inclusion of coercive control in protection order petitions and the nature of the harm or threatened harm articulated;</w:t>
      </w:r>
    </w:p>
    <w:p>
      <w:pPr>
        <w:spacing w:before="0" w:after="0" w:line="408" w:lineRule="exact"/>
        <w:ind w:left="0" w:right="0" w:firstLine="576"/>
        <w:jc w:val="left"/>
      </w:pPr>
      <w:r>
        <w:rPr/>
        <w:t xml:space="preserve">(iii) Whether the orders were granted and if so, the relief ordered by the court;</w:t>
      </w:r>
    </w:p>
    <w:p>
      <w:pPr>
        <w:spacing w:before="0" w:after="0" w:line="408" w:lineRule="exact"/>
        <w:ind w:left="0" w:right="0" w:firstLine="576"/>
        <w:jc w:val="left"/>
      </w:pPr>
      <w:r>
        <w:rPr/>
        <w:t xml:space="preserve">(iv) Whether the orders were denied, and if so, the reason for the denial; and</w:t>
      </w:r>
    </w:p>
    <w:p>
      <w:pPr>
        <w:spacing w:before="0" w:after="0" w:line="408" w:lineRule="exact"/>
        <w:ind w:left="0" w:right="0" w:firstLine="576"/>
        <w:jc w:val="left"/>
      </w:pPr>
      <w:r>
        <w:rPr/>
        <w:t xml:space="preserve">(v) In proceedings involving domestic violence where coercive control is part of the harm alleged:</w:t>
      </w:r>
    </w:p>
    <w:p>
      <w:pPr>
        <w:spacing w:before="0" w:after="0" w:line="408" w:lineRule="exact"/>
        <w:ind w:left="0" w:right="0" w:firstLine="576"/>
        <w:jc w:val="left"/>
      </w:pPr>
      <w:r>
        <w:rPr/>
        <w:t xml:space="preserve">(A) The frequency of conflicting protection orders, cross-petitions (where each party files a petition against the other), or re-aligned orders (where the court finds that the original petitioner is the abuser and the original respondent is the victim);</w:t>
      </w:r>
    </w:p>
    <w:p>
      <w:pPr>
        <w:spacing w:before="0" w:after="0" w:line="408" w:lineRule="exact"/>
        <w:ind w:left="0" w:right="0" w:firstLine="576"/>
        <w:jc w:val="left"/>
      </w:pPr>
      <w:r>
        <w:rPr/>
        <w:t xml:space="preserve">(B) Enforcement of protection order violations;</w:t>
      </w:r>
    </w:p>
    <w:p>
      <w:pPr>
        <w:spacing w:before="0" w:after="0" w:line="408" w:lineRule="exact"/>
        <w:ind w:left="0" w:right="0" w:firstLine="576"/>
        <w:jc w:val="left"/>
      </w:pPr>
      <w:r>
        <w:rPr/>
        <w:t xml:space="preserve">(C) Other legal proceedings involving either party, such as family, dependency, or criminal matters; and</w:t>
      </w:r>
    </w:p>
    <w:p>
      <w:pPr>
        <w:spacing w:before="0" w:after="0" w:line="408" w:lineRule="exact"/>
        <w:ind w:left="0" w:right="0" w:firstLine="576"/>
        <w:jc w:val="left"/>
      </w:pPr>
      <w:r>
        <w:rPr/>
        <w:t xml:space="preserve">(D) Whether the parties had legal representation or legal advocates in the protection order proceedings.</w:t>
      </w:r>
    </w:p>
    <w:p>
      <w:pPr>
        <w:spacing w:before="0" w:after="0" w:line="408" w:lineRule="exact"/>
        <w:ind w:left="0" w:right="0" w:firstLine="576"/>
        <w:jc w:val="left"/>
      </w:pPr>
      <w:r>
        <w:rPr/>
        <w:t xml:space="preserve">(d) The study shall also assess judicial officer training regarding protection orders, and coercive control in particular, and whether additional judicial officers are required to hear protection order proceedings.</w:t>
      </w:r>
    </w:p>
    <w:p>
      <w:pPr>
        <w:spacing w:before="0" w:after="0" w:line="408" w:lineRule="exact"/>
        <w:ind w:left="0" w:right="0" w:firstLine="576"/>
        <w:jc w:val="left"/>
      </w:pPr>
      <w:r>
        <w:rPr/>
        <w:t xml:space="preserve">(e) To the extent feasible, and considered best practice by the center for court research, the evaluation should also: Gather qualitative information from survivors of domestic violence, legal counsel, protection order advocates and court navigators, court clerks, and judicial officers; and include analysis of any disproportionate impact on survivors by race, immigration status, language, gender, sexual orientation, or disability.</w:t>
      </w:r>
    </w:p>
    <w:p>
      <w:pPr>
        <w:spacing w:before="0" w:after="0" w:line="408" w:lineRule="exact"/>
        <w:ind w:left="0" w:right="0" w:firstLine="576"/>
        <w:jc w:val="left"/>
      </w:pPr>
      <w:r>
        <w:rPr/>
        <w:t xml:space="preserve">(f) At the conclusion of any study conducted under this section, the center for court research shall report its findings to the legislature in compliance with RCW 43.01.036.</w:t>
      </w:r>
    </w:p>
    <w:p>
      <w:pPr>
        <w:spacing w:before="0" w:after="0" w:line="408" w:lineRule="exact"/>
        <w:ind w:left="0" w:right="0" w:firstLine="576"/>
        <w:jc w:val="left"/>
      </w:pPr>
      <w:r>
        <w:rPr/>
        <w:t xml:space="preserve">(2) By July 1, 2022, the gender and justice commission through its E2SHB 1320 work groups and the center for court research shall advise the chairs of the relevant policy committees of the legislature of their recommendations regarding need, timing, and design for such a study.</w:t>
      </w:r>
    </w:p>
    <w:p>
      <w:pPr>
        <w:spacing w:before="0" w:after="0" w:line="408" w:lineRule="exact"/>
        <w:ind w:left="0" w:right="0" w:firstLine="576"/>
        <w:jc w:val="left"/>
      </w:pPr>
      <w:r>
        <w:rPr/>
        <w:t xml:space="preserve">(3)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w:t>
      </w:r>
      <w:r>
        <w:t>((</w:t>
      </w:r>
      <w:r>
        <w:rPr>
          <w:strike/>
        </w:rPr>
        <w:t xml:space="preserve">chapter 7.105 RCW,</w:t>
      </w:r>
      <w:r>
        <w:t>))</w:t>
      </w:r>
      <w:r>
        <w:rPr/>
        <w:t xml:space="preserve"> RCW 10.99.040</w:t>
      </w:r>
      <w:r>
        <w:t>((</w:t>
      </w:r>
      <w:r>
        <w:rPr>
          <w:strike/>
        </w:rPr>
        <w:t xml:space="preserve">,</w:t>
      </w:r>
      <w:r>
        <w:t>))</w:t>
      </w:r>
      <w:r>
        <w:rPr/>
        <w:t xml:space="preserve">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w:t>
      </w:r>
      <w:r>
        <w:t>((</w:t>
      </w:r>
      <w:r>
        <w:rPr>
          <w:strike/>
        </w:rPr>
        <w:t xml:space="preserve">and</w:t>
      </w:r>
      <w:r>
        <w:t>))</w:t>
      </w:r>
      <w:r>
        <w:rPr/>
        <w:t xml:space="preserve"> </w:t>
      </w:r>
      <w:r>
        <w:rPr>
          <w:u w:val="single"/>
        </w:rPr>
        <w:t xml:space="preserve">or</w:t>
      </w:r>
      <w:r>
        <w:rPr/>
        <w:t xml:space="preserve">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2021 c 215 s 74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w:t>
      </w:r>
      <w:r>
        <w:t>((</w:t>
      </w:r>
      <w:r>
        <w:rPr>
          <w:strike/>
        </w:rPr>
        <w:t xml:space="preserve">;</w:t>
      </w:r>
      <w:r>
        <w:t>))</w:t>
      </w:r>
      <w:r>
        <w:rPr>
          <w:u w:val="single"/>
        </w:rPr>
        <w:t xml:space="preserve">, except that</w:t>
      </w:r>
      <w:r>
        <w:rPr/>
        <w:t xml:space="preserve"> copies of license applications or information on the applications may be released to law enforcement or corrections agencies </w:t>
      </w:r>
      <w:r>
        <w:rPr>
          <w:u w:val="single"/>
        </w:rPr>
        <w:t xml:space="preserve">or to persons and entities as authorized under RCW 9.41.815</w:t>
      </w:r>
      <w:r>
        <w:rPr/>
        <w:t xml:space="preserve">;</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2021 c 264 s 17 and 2021 c 263 s 6 are each reenacted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2021 c 264 s 18 and 2021 c 263 s 7 are each reenacted and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w:t>
      </w:r>
      <w:r>
        <w:rPr>
          <w:u w:val="single"/>
        </w:rPr>
        <w:t xml:space="preserve">34,</w:t>
      </w:r>
      <w:r>
        <w:rPr/>
        <w:t xml:space="preserve"> and 36 of this act, this act takes effect July 1, 2022.</w:t>
      </w:r>
    </w:p>
    <w:p>
      <w:pPr>
        <w:spacing w:before="0" w:after="0" w:line="408" w:lineRule="exact"/>
        <w:ind w:left="0" w:right="0" w:firstLine="576"/>
        <w:jc w:val="left"/>
      </w:pPr>
      <w:r>
        <w:rPr>
          <w:u w:val="single"/>
        </w:rPr>
        <w:t xml:space="preserve">(2) Sections 19, 21, 24, and 34,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36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14, 37, and 47 of this act, this act takes effect July 1, 2022.</w:t>
      </w:r>
    </w:p>
    <w:p>
      <w:pPr>
        <w:spacing w:before="0" w:after="0" w:line="408" w:lineRule="exact"/>
        <w:ind w:left="0" w:right="0" w:firstLine="576"/>
        <w:jc w:val="left"/>
      </w:pPr>
      <w:r>
        <w:rPr/>
        <w:t xml:space="preserve">(2) Section 37 of this act takes effect July 1, 2023.</w:t>
      </w:r>
    </w:p>
    <w:p>
      <w:pPr>
        <w:spacing w:before="0" w:after="0" w:line="408" w:lineRule="exact"/>
        <w:ind w:left="0" w:right="0" w:firstLine="576"/>
        <w:jc w:val="left"/>
      </w:pPr>
      <w:r>
        <w:rPr/>
        <w:t xml:space="preserve">(3) Sections 9 through 14 and 47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SHB 1901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03/03/2022</w:t>
      </w:r>
    </w:p>
    <w:p>
      <w:pPr>
        <w:spacing w:before="0" w:after="0" w:line="408" w:lineRule="exact"/>
        <w:ind w:left="0" w:right="0" w:firstLine="576"/>
        <w:jc w:val="left"/>
      </w:pPr>
      <w:r>
        <w:rPr/>
        <w:t xml:space="preserve">On page 1, line 3 of the title, after "accessibility;" strike the remainder of the title and insert "amending RCW 7.105.010, 7.105.050, 7.105.070, 7.105.075, 7.105.100, 7.105.105, 7.105.115, 7.105.120, 7.105.150, 7.105.155, 7.105.165, 7.105.200, 7.105.205, 7.105.250, 7.105.255, 7.105.305, 7.105.310, 7.105.320, 7.105.340, 7.105.400, 7.105.450, 7.105.460, 7.105.500, 7.105.510, 7.105.555, 7.105.902, 9.41.040, 9.41.800, 9.41.801, 42.56.240, 4.08.050, 9.41.042, 12.04.140, 12.04.150, 13.40.0357, 13.40.0357, 13.40.160, 13.40.193, 13.40.265, and 26.28.015; amending 2021 c 215 s 87 (uncodified); reenacting and amending RCW 70.02.240; reenacting RCW 50.20.050 and 70.02.230; creating a new section; repealing RCW 7.105.055, 7.105.060, 7.105.170, and 7.105.901;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5de6190834239" /></Relationships>
</file>