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6c16c739d48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S5328.2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1901</w:t>
      </w:r>
      <w:r>
        <w:t xml:space="preserve"> -</w:t>
      </w:r>
      <w:r>
        <w:t xml:space="preserve"> </w:t>
        <w:t xml:space="preserve">S AMD TO WM COMM AMD (S-5123.1/22)</w:t>
      </w:r>
      <w:r>
        <w:t xml:space="preserve"> </w:t>
      </w:r>
      <w:r>
        <w:rPr>
          <w:b/>
        </w:rPr>
        <w:t xml:space="preserve">1406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2, after "</w:t>
      </w:r>
      <w:r>
        <w:rPr>
          <w:u w:val="single"/>
        </w:rPr>
        <w:t xml:space="preserve">party.</w:t>
      </w:r>
      <w:r>
        <w:rPr/>
        <w:t xml:space="preserve">" insert "</w:t>
      </w:r>
      <w:r>
        <w:rPr>
          <w:u w:val="single"/>
        </w:rPr>
        <w:t xml:space="preserve">Coercive control does not include using a raised voice during conversation unless accompanied by other coercive conduct.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using a raised voice during conversation is not coercive control unless accompanied by other coercive conduct.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0b66850ad4b50" /></Relationships>
</file>