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88c248e3a430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5015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S1895.1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5015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03/05/2021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11, after "voter</w:t>
      </w:r>
      <w:r>
        <w:rPr>
          <w:u w:val="single"/>
        </w:rPr>
        <w:t xml:space="preserve">;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</w:t>
      </w:r>
      <w:r>
        <w:rPr>
          <w:u w:val="single"/>
        </w:rPr>
        <w:t xml:space="preserve">auditor</w:t>
      </w:r>
      <w:r>
        <w:rPr/>
        <w:t xml:space="preserve">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 If the person is not an election official in the performance of official duties, establishes a ballot drop box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establishment of an unofficial ballot drop box.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dd4e6bb604f3f" /></Relationships>
</file>