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839c8091848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S0679.1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5024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Pedersen, Padden</w:t>
      </w:r>
    </w:p>
    <w:p>
      <w:pPr>
        <w:jc w:val="right"/>
      </w:pPr>
      <w:r>
        <w:rPr>
          <w:b/>
        </w:rPr>
        <w:t xml:space="preserve">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14,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expires June 30, 2031."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5024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Pedersen, Padden</w:t>
      </w:r>
    </w:p>
    <w:p>
      <w:pPr>
        <w:jc w:val="right"/>
      </w:pPr>
      <w:r>
        <w:rPr>
          <w:b/>
        </w:rPr>
        <w:t xml:space="preserve">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"construction;" strike the remainder of the title and insert "amending RCW 64.55.010, 64.90.645, and 64.04.005; 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Terminates the exemption for small condominiums from building enclosure design and inspection requirements on June 30, 2031.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71601f3a84d7a" /></Relationships>
</file>