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45ce5b7b5b490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5035-S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S1542.1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5035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140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NOT ADOPTED 02/25/2021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24, after "</w:t>
      </w:r>
      <w:r>
        <w:rPr>
          <w:u w:val="single"/>
        </w:rPr>
        <w:t xml:space="preserve">sentence</w:t>
      </w:r>
      <w:r>
        <w:rPr/>
        <w:t xml:space="preserve">" insert "</w:t>
      </w:r>
      <w:r>
        <w:rPr>
          <w:u w:val="single"/>
        </w:rPr>
        <w:t xml:space="preserve">, and the person has no subsequent convictions for any drug offense</w:t>
      </w:r>
      <w:r>
        <w:rPr/>
        <w:t xml:space="preserve">" 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 requirement that the individual not have been convicted of a drug offense during the five-year period after entry of the judgment and sentence in order to have the previous drug offense removed from their offender score after five years.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e5653c4f3e439a" /></Relationships>
</file>