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a0c2478f144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S1718.1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31,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presumption that the Board release a petitioner unless the panel determines by a preponderance of the evidence that the person is more likely than not to commit new criminal law violations if released.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a8b8ef1a348bc" /></Relationships>
</file>