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57e0569f34cc4" /></Relationships>
</file>

<file path=word/document.xml><?xml version="1.0" encoding="utf-8"?>
<w:document xmlns:w="http://schemas.openxmlformats.org/wordprocessingml/2006/main">
  <w:body>
    <w:p>
      <w:r>
        <w:rPr>
          <w:b/>
        </w:rPr>
        <w:r>
          <w:rPr/>
          <w:t xml:space="preserve">5071-S2</w:t>
        </w:r>
      </w:r>
      <w:r>
        <w:rPr>
          <w:b/>
        </w:rPr>
        <w:t xml:space="preserve"> </w:t>
        <w:t xml:space="preserve">AMS</w:t>
      </w:r>
      <w:r>
        <w:rPr>
          <w:b/>
        </w:rPr>
        <w:t xml:space="preserve"> </w:t>
        <w:r>
          <w:rPr/>
          <w:t xml:space="preserve">DHIN</w:t>
        </w:r>
      </w:r>
      <w:r>
        <w:rPr>
          <w:b/>
        </w:rPr>
        <w:t xml:space="preserve"> </w:t>
        <w:r>
          <w:rPr/>
          <w:t xml:space="preserve">S1709.3</w:t>
        </w:r>
      </w:r>
      <w:r>
        <w:rPr>
          <w:b/>
        </w:rPr>
        <w:t xml:space="preserve"> - NOT FOR FLOOR USE</w:t>
      </w:r>
    </w:p>
    <w:p>
      <w:pPr>
        <w:ind w:left="0" w:right="0" w:firstLine="576"/>
      </w:pPr>
    </w:p>
    <w:p>
      <w:pPr>
        <w:spacing w:before="480" w:after="0" w:line="408" w:lineRule="exact"/>
      </w:pPr>
      <w:r>
        <w:rPr>
          <w:b/>
          <w:u w:val="single"/>
        </w:rPr>
        <w:t xml:space="preserve">2SSB 5071</w:t>
      </w:r>
      <w:r>
        <w:t xml:space="preserve"> -</w:t>
      </w:r>
      <w:r>
        <w:t xml:space="preserve"> </w:t>
        <w:t xml:space="preserve">S AMD</w:t>
      </w:r>
      <w:r>
        <w:t xml:space="preserve"> </w:t>
      </w:r>
      <w:r>
        <w:rPr>
          <w:b/>
        </w:rPr>
        <w:t xml:space="preserve">303</w:t>
      </w:r>
    </w:p>
    <w:p>
      <w:pPr>
        <w:spacing w:before="0" w:after="0" w:line="408" w:lineRule="exact"/>
        <w:ind w:left="0" w:right="0" w:firstLine="576"/>
        <w:jc w:val="left"/>
      </w:pPr>
      <w:r>
        <w:rPr/>
        <w:t xml:space="preserve">By Senator Dhingra</w:t>
      </w:r>
    </w:p>
    <w:p>
      <w:pPr>
        <w:jc w:val="right"/>
      </w:pPr>
      <w:r>
        <w:rPr>
          <w:b/>
        </w:rPr>
        <w:t xml:space="preserve">ADOPTED 03/01/2021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p>
    <w:p>
      <w:pPr>
        <w:spacing w:before="0" w:after="0" w:line="408" w:lineRule="exact"/>
        <w:ind w:left="0" w:right="0" w:firstLine="576"/>
        <w:jc w:val="left"/>
      </w:pPr>
      <w:r>
        <w:rPr>
          <w:u w:val="single"/>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clinical practitioner within the community behavioral health agency providing less restrictive alternative treatment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court approval for conditional release, the secretary or the secretary's designee shall supervise the person's compliance with the court-ordered conditions of release </w:t>
      </w:r>
      <w:r>
        <w:rPr>
          <w:u w:val="single"/>
        </w:rPr>
        <w:t xml:space="preserve">in coordination with the multidisciplinary transition team appointed under RCW 10.77.150</w:t>
      </w:r>
      <w:r>
        <w:rPr/>
        <w:t xml:space="preserve">. The level of supervision provided by the secretary shall correspond to the level of the person's public safety risk. In undertaking supervision of persons under this section, the secretary shall coordinate with any treatment providers </w:t>
      </w:r>
      <w:r>
        <w:t>((</w:t>
      </w:r>
      <w:r>
        <w:rPr>
          <w:strike/>
        </w:rPr>
        <w:t xml:space="preserve">designated pursuant to RCW 10.77.150(3), any</w:t>
      </w:r>
      <w:r>
        <w:t>))</w:t>
      </w:r>
      <w:r>
        <w:rPr/>
        <w:t xml:space="preserve"> </w:t>
      </w:r>
      <w:r>
        <w:rPr>
          <w:u w:val="single"/>
        </w:rPr>
        <w:t xml:space="preserve">or</w:t>
      </w:r>
      <w:r>
        <w:rPr/>
        <w:t xml:space="preserve"> department of corrections staff designated pursuant to RCW 10.77.150</w:t>
      </w:r>
      <w:r>
        <w:t>((</w:t>
      </w:r>
      <w:r>
        <w:rPr>
          <w:strike/>
        </w:rPr>
        <w:t xml:space="preserve">(2)</w:t>
      </w:r>
      <w:r>
        <w:t>))</w:t>
      </w:r>
      <w:r>
        <w:rPr/>
        <w:t xml:space="preserve">,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All superior courts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13 and 14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13 and 14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take effect July 1, 2022."</w:t>
      </w:r>
    </w:p>
    <w:p>
      <w:pPr>
        <w:spacing w:before="480" w:after="0" w:line="408" w:lineRule="exact"/>
      </w:pPr>
      <w:r>
        <w:rPr>
          <w:b/>
          <w:u w:val="single"/>
        </w:rPr>
        <w:t xml:space="preserve">2SSB 5071</w:t>
      </w:r>
      <w:r>
        <w:t xml:space="preserve"> -</w:t>
      </w:r>
      <w:r>
        <w:t xml:space="preserve"> </w:t>
        <w:t xml:space="preserve">S AMD</w:t>
      </w:r>
      <w:r>
        <w:t xml:space="preserve"> </w:t>
      </w:r>
      <w:r>
        <w:rPr>
          <w:b/>
        </w:rPr>
        <w:t xml:space="preserve">303</w:t>
      </w:r>
    </w:p>
    <w:p>
      <w:pPr>
        <w:spacing w:before="0" w:after="0" w:line="408" w:lineRule="exact"/>
        <w:ind w:left="0" w:right="0" w:firstLine="576"/>
        <w:jc w:val="left"/>
      </w:pPr>
      <w:r>
        <w:rPr/>
        <w:t xml:space="preserve">By Senator Dhingra</w:t>
      </w:r>
    </w:p>
    <w:p>
      <w:pPr>
        <w:jc w:val="right"/>
      </w:pPr>
      <w:r>
        <w:rPr>
          <w:b/>
        </w:rPr>
        <w:t xml:space="preserve">ADOPTED 03/01/2021</w:t>
      </w:r>
    </w:p>
    <w:p>
      <w:pPr>
        <w:spacing w:before="0" w:after="0" w:line="408" w:lineRule="exact"/>
        <w:ind w:left="0" w:right="0" w:firstLine="576"/>
        <w:jc w:val="left"/>
      </w:pPr>
      <w:r>
        <w:rPr/>
        <w:t xml:space="preserve">On page 1, line 2 of the title, after "commitment;" strike the remainder of the title and insert "amending RCW 10.77.150, 71.05.320, 71.05.320, 10.77.060, 70.02.230, 70.02.240, 71.24.035, 10.77.010, 10.77.195, 71.05.740, 71.24.035, and 71.24.045; amending 2020 c 302 s 110 (uncodified); reenacting and amending RCW 71.05.020, 71.05.020, 71.05.020, and 71.05.020; adding a new section to chapter 10.77 RCW; adding a new section to chapter 71.24 RCW; creating new sections; providing effective dates; providing a contingent effective date; and providing expiration dates."</w:t>
      </w:r>
    </w:p>
    <w:p>
      <w:pPr>
        <w:spacing w:before="0" w:after="0" w:line="408" w:lineRule="exact"/>
        <w:ind w:left="0" w:right="0" w:firstLine="576"/>
        <w:jc w:val="left"/>
      </w:pPr>
      <w:r>
        <w:rPr>
          <w:u w:val="single"/>
        </w:rPr>
        <w:t xml:space="preserve">EFFECT:</w:t>
      </w:r>
      <w:r>
        <w:rPr/>
        <w:t xml:space="preserve"> Allows a person committed under criminal insanity laws or the Department of Social and Health Services to apply for a limited conditional release if the person can exercise increased privileges safely under Department supervision but is not ready for conditional release to a less restrictive alternative.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a46bd65224b74" /></Relationships>
</file>