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e4add9a44a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57,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All rule making authorized under this act must be conducted according to the standards for significant legislative rules provided in RCW 34.05.328."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all rule making under the act be conducted according to the standards for significant legislative rules.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f7eec3d5d406c" /></Relationships>
</file>