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f6774a4f64083" /></Relationships>
</file>

<file path=word/document.xml><?xml version="1.0" encoding="utf-8"?>
<w:document xmlns:w="http://schemas.openxmlformats.org/wordprocessingml/2006/main">
  <w:body>
    <w:p>
      <w:r>
        <w:rPr>
          <w:b/>
        </w:rPr>
        <w:r>
          <w:rPr/>
          <w:t xml:space="preserve">5160-S2</w:t>
        </w:r>
      </w:r>
      <w:r>
        <w:rPr>
          <w:b/>
        </w:rPr>
        <w:t xml:space="preserve"> </w:t>
        <w:t xml:space="preserve">AMS</w:t>
      </w:r>
      <w:r>
        <w:rPr>
          <w:b/>
        </w:rPr>
        <w:t xml:space="preserve"> </w:t>
        <w:r>
          <w:rPr/>
          <w:t xml:space="preserve">FORT</w:t>
        </w:r>
      </w:r>
      <w:r>
        <w:rPr>
          <w:b/>
        </w:rPr>
        <w:t xml:space="preserve"> </w:t>
        <w:r>
          <w:rPr/>
          <w:t xml:space="preserve">S1597.1</w:t>
        </w:r>
      </w:r>
      <w:r>
        <w:rPr>
          <w:b/>
        </w:rPr>
        <w:t xml:space="preserve"> - NOT FOR FLOOR USE</w:t>
      </w:r>
    </w:p>
    <w:p>
      <w:pPr>
        <w:ind w:left="0" w:right="0" w:firstLine="576"/>
      </w:pP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180</w:t>
      </w:r>
    </w:p>
    <w:p>
      <w:pPr>
        <w:spacing w:before="0" w:after="0" w:line="408" w:lineRule="exact"/>
        <w:ind w:left="0" w:right="0" w:firstLine="576"/>
        <w:jc w:val="left"/>
      </w:pPr>
      <w:r>
        <w:rPr/>
        <w:t xml:space="preserve">By Senator Fortunato</w:t>
      </w:r>
    </w:p>
    <w:p>
      <w:pPr>
        <w:jc w:val="right"/>
      </w:pPr>
      <w:r>
        <w:rPr>
          <w:b/>
        </w:rPr>
        <w:t xml:space="preserve">ADOPTED 03/04/2021</w:t>
      </w:r>
    </w:p>
    <w:p>
      <w:pPr>
        <w:spacing w:before="0" w:after="0" w:line="408" w:lineRule="exact"/>
        <w:ind w:left="0" w:right="0" w:firstLine="576"/>
        <w:jc w:val="left"/>
      </w:pPr>
      <w:r>
        <w:rPr/>
        <w:t xml:space="preserve">On page 12, line 32, after "(7)" insert "Any superior court, in collaboration with the dispute resolution center that is located within or serving the same county, participating in the eviction resolution pilot program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nonpayment of rent cases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(8) By July 1, 2022, until July 1, 2023, the administrative office of the courts must provide a report to the legislature summarizing the report data shared by the superior courts and dispute resolution centers under subsection (7) of this section.</w:t>
      </w:r>
    </w:p>
    <w:p>
      <w:pPr>
        <w:spacing w:before="0" w:after="0" w:line="408" w:lineRule="exact"/>
        <w:ind w:left="0" w:right="0" w:firstLine="576"/>
        <w:jc w:val="left"/>
      </w:pPr>
      <w:r>
        <w:rPr/>
        <w:t xml:space="preserve">(9)"</w:t>
      </w:r>
    </w:p>
    <w:p>
      <w:pPr>
        <w:spacing w:before="0" w:after="0" w:line="408" w:lineRule="exact"/>
        <w:ind w:left="0" w:right="0" w:firstLine="576"/>
        <w:jc w:val="left"/>
      </w:pPr>
      <w:r>
        <w:rPr>
          <w:u w:val="single"/>
        </w:rPr>
        <w:t xml:space="preserve">EFFECT:</w:t>
      </w:r>
      <w:r>
        <w:rPr/>
        <w:t xml:space="preserve"> Requires superior courts and dispute resolution centers participating in the pilot program to report certain data on an annual basis to the administrative office of the courts (AOC), and for the AOC to report this data annually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39b9b19a634b72" /></Relationships>
</file>