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83ed606444ca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S1683.1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16, after "</w:t>
      </w:r>
      <w:r>
        <w:rPr>
          <w:u w:val="single"/>
        </w:rPr>
        <w:t xml:space="preserve">that</w:t>
      </w:r>
      <w:r>
        <w:rPr/>
        <w:t xml:space="preserve">" strike all material through "</w:t>
      </w:r>
      <w:r>
        <w:rPr>
          <w:u w:val="single"/>
        </w:rPr>
        <w:t xml:space="preserve">that</w:t>
      </w:r>
      <w:r>
        <w:rPr/>
        <w:t xml:space="preserve">" on line 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</w:t>
      </w:r>
      <w:r>
        <w:rPr>
          <w:u w:val="single"/>
        </w:rPr>
        <w:t xml:space="preserve">felony,</w:t>
      </w:r>
      <w:r>
        <w:rPr/>
        <w:t xml:space="preserve">" insert "</w:t>
      </w:r>
      <w:r>
        <w:rPr>
          <w:u w:val="single"/>
        </w:rPr>
        <w:t xml:space="preserve">or that the finder of fact has determined beyond a reasonable doubt that the person injured or killed was engaged in a class C felony,</w:t>
      </w:r>
      <w:r>
        <w:rPr/>
        <w:t xml:space="preserve">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e1843fcf84d16" /></Relationships>
</file>