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b0a7fe31b40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9,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website.</w:t>
      </w:r>
      <w:r>
        <w:rPr/>
        <w:t xml:space="preserve">" on line 21 and insert "</w:t>
      </w:r>
      <w:r>
        <w:rPr>
          <w:u w:val="single"/>
        </w:rPr>
        <w:t xml:space="preserve">Prior to beginning a project to provide retail telecommunications services in this subsection, a public utility district must: (i) Notify the governor's statewide broadband office, established in RCW 43.330.532, of its intent to provide such services; (ii) provide a detailed plan of what facilities it intends to build including, but not limited to, a specific description of where it intends to build facilities and what facilities it intends to construct; and (iii) post a notice of intent and a copy of its plan on its public website. The governor's statewide broadband office must post notices and plans received from a public utility district pursuant to this subsection on its public website and provide notice of the posting to each incumbent local exchange company whose service area is affected by a notice of intent.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website.</w:t>
      </w:r>
      <w:r>
        <w:rPr/>
        <w:t xml:space="preserve">" on line 14 and insert "</w:t>
      </w:r>
      <w:r>
        <w:rPr>
          <w:u w:val="single"/>
        </w:rPr>
        <w:t xml:space="preserve">Prior to beginning a project to provide retail telecommunications services in this subsection, a port district must: (i) Notify the governor's statewide broadband office, established in RCW 43.330.532, of its intent to provide such services; (ii) provide a detailed plan of what facilities it intends to build including, but not limited to, a specific description of where it intends to build facilities and what facilities it intends to construct; and (iii) post a notice of intent and a copy of its plan on its public website. The governor's statewide broadband office must post notices and plans received from a port district pursuant to this subsection on its public website and provide notice of the posting to each incumbent local exchange company whose service area is affected by a notice of intent.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the requirements public utility districts and port districts must fulfill prior to beginning a project to provide retail telecommunications services. Requires the governor's statewide broadband office to notify each incumbent local exchange company whose service area is affected by a public utility district's or port district's intent to provide retail telecommunications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b8d30a1744eef" /></Relationships>
</file>