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eec963f9147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S3016.1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WITHDRAWN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13, after "expire" strike "July 1, 2023," and insert "July 1, 2022,"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14, after "effect" strike "July 1, 2023," and insert "July 1, 2022,"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at the beginning of line 15, strike "July 1, 2023," and insert "July 1, 2022,"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17, after "by" strike "July 1, 2023," and insert "July 1, 2022,"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22, after "by" strike "July 1, 2023," and insert "July 1, 2022,"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Accelerates the date from July 1, 2023, to July 1, 2022, that provisions are instituted removing criminal penalties for possession of a personal use amount of a controlled substance, counterfeit substance, or legend drug for persons 21 years of age or older and creating a civil infraction for using controlled substances in public.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2eab60aa349e1" /></Relationships>
</file>