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5c16550c94abc"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S2961.1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874</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w:t>
      </w:r>
      <w:r>
        <w:rPr/>
        <w:t xml:space="preserve"> person to create, deliver, or </w:t>
      </w:r>
      <w:r>
        <w:rPr>
          <w:u w:val="single"/>
        </w:rPr>
        <w:t xml:space="preserve">knowingly</w:t>
      </w:r>
      <w:r>
        <w:rPr/>
        <w:t xml:space="preserve"> possess a counterfeit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w:t>
      </w:r>
      <w:r>
        <w:t>((</w:t>
      </w:r>
      <w:r>
        <w:rPr>
          <w:strike/>
        </w:rPr>
        <w:t xml:space="preserve">It is unlawful for any person to possess a controlled substance unless</w:t>
      </w:r>
      <w:r>
        <w:t>))</w:t>
      </w:r>
      <w:r>
        <w:rPr/>
        <w:t xml:space="preserve"> </w:t>
      </w:r>
      <w:r>
        <w:rPr>
          <w:u w:val="single"/>
        </w:rPr>
        <w:t xml:space="preserve">Unless</w:t>
      </w:r>
      <w:r>
        <w:rPr/>
        <w:t xml:space="preserve"> the substance was obtained directly from, or pursuant to, a valid prescription or order of a practitioner while acting in the course of his or her professional practice, or except as otherwise authorized by this chapter</w:t>
      </w:r>
      <w:r>
        <w:rPr>
          <w:u w:val="single"/>
        </w:rPr>
        <w:t xml:space="preserve">, it is unlawful for</w:t>
      </w:r>
      <w:r>
        <w:rPr>
          <w:u w:val="single"/>
        </w:rPr>
        <w:t xml:space="preserve"> any person to knowingly possess a controlled substance</w:t>
      </w:r>
      <w:r>
        <w:rPr/>
        <w:t xml:space="preserve">.</w:t>
      </w:r>
    </w:p>
    <w:p>
      <w:pPr>
        <w:spacing w:before="0" w:after="0" w:line="408" w:lineRule="exact"/>
        <w:ind w:left="0" w:right="0" w:firstLine="576"/>
        <w:jc w:val="left"/>
      </w:pPr>
      <w:r>
        <w:rPr/>
        <w:t xml:space="preserve">(2) Except as provided in RCW 69.50.4014</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(a) Any</w:t>
      </w:r>
      <w:r>
        <w:rPr/>
        <w:t xml:space="preserve"> person </w:t>
      </w:r>
      <w:r>
        <w:rPr>
          <w:u w:val="single"/>
        </w:rPr>
        <w:t xml:space="preserve">over the age of 21</w:t>
      </w:r>
      <w:r>
        <w:rPr/>
        <w:t xml:space="preserve"> who violates this section is guilty of a class C felony punishable under chapter 9A.20 RCW</w:t>
      </w:r>
      <w:r>
        <w:rPr>
          <w:u w:val="single"/>
        </w:rPr>
        <w:t xml:space="preserve">;</w:t>
      </w:r>
    </w:p>
    <w:p>
      <w:pPr>
        <w:spacing w:before="0" w:after="0" w:line="408" w:lineRule="exact"/>
        <w:ind w:left="0" w:right="0" w:firstLine="576"/>
        <w:jc w:val="left"/>
      </w:pPr>
      <w:r>
        <w:rPr>
          <w:u w:val="single"/>
        </w:rPr>
        <w:t xml:space="preserve">(b) Any person under the age of 21 who violates this section is guilty of a gross misdemeanor</w:t>
      </w:r>
      <w:r>
        <w:rPr/>
        <w:t xml:space="preserve">.</w:t>
      </w:r>
    </w:p>
    <w:p>
      <w:pPr>
        <w:spacing w:before="0" w:after="0" w:line="408" w:lineRule="exact"/>
        <w:ind w:left="0" w:right="0" w:firstLine="576"/>
        <w:jc w:val="left"/>
      </w:pPr>
      <w:r>
        <w:rPr/>
        <w:t xml:space="preserve">(3)</w:t>
      </w:r>
      <w:r>
        <w:rPr>
          <w:u w:val="single"/>
        </w:rPr>
        <w:t xml:space="preserve">(a) A person who is found to be in possession of a controlled substance shall be referred for evaluation and services and enter into a diversion agreement for their first offense.</w:t>
      </w:r>
    </w:p>
    <w:p>
      <w:pPr>
        <w:spacing w:before="0" w:after="0" w:line="408" w:lineRule="exact"/>
        <w:ind w:left="0" w:right="0" w:firstLine="576"/>
        <w:jc w:val="left"/>
      </w:pPr>
      <w:r>
        <w:rPr>
          <w:u w:val="single"/>
        </w:rPr>
        <w:t xml:space="preserve">(b) A person who is found to be in possession of a controlled substance may be referred for evaluation and services and enter into a diversion agreement for their second offense if the prosecuting attorney of the local jurisdiction approves the referral.</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 counterfeit or controlled substance or consume a counterfeit or controlled substance in view of the general public or in a public place.</w:t>
      </w:r>
    </w:p>
    <w:p>
      <w:pPr>
        <w:spacing w:before="0" w:after="0" w:line="408" w:lineRule="exact"/>
        <w:ind w:left="0" w:right="0" w:firstLine="576"/>
        <w:jc w:val="left"/>
      </w:pPr>
      <w:r>
        <w:rPr>
          <w:u w:val="single"/>
        </w:rPr>
        <w:t xml:space="preserve">(3)</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1 civil infraction under chapter 7.80 RCW and subject to a maximum penalty of $250. Proceeds from this infraction are to be deposited in the </w:t>
      </w:r>
      <w:r>
        <w:rPr>
          <w:i/>
          <w:u w:val="single"/>
        </w:rPr>
        <w:t xml:space="preserve">State v. Blake</w:t>
      </w:r>
      <w:r>
        <w:rPr>
          <w:u w:val="single"/>
        </w:rPr>
        <w:t xml:space="preserve"> reimbursement account created in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any person to sell, deliver, or </w:t>
      </w:r>
      <w:r>
        <w:rPr>
          <w:u w:val="single"/>
        </w:rPr>
        <w:t xml:space="preserve">knowingly</w:t>
      </w:r>
      <w:r>
        <w:rPr/>
        <w:t xml:space="preserve"> possess any legend drug </w:t>
      </w:r>
      <w:r>
        <w:t>((</w:t>
      </w:r>
      <w:r>
        <w:rPr>
          <w:strike/>
        </w:rPr>
        <w:t xml:space="preserve">except</w:t>
      </w:r>
      <w:r>
        <w:t>))</w:t>
      </w:r>
      <w:r>
        <w:rPr>
          <w:u w:val="single"/>
        </w:rPr>
        <w:t xml:space="preserve">.</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addition to those services provided under RCW 10.77.074, a forensic navigator may be used as a resource for law enforcement to serve as a care coordinator for substance use disorder resources.</w:t>
      </w:r>
    </w:p>
    <w:p>
      <w:pPr>
        <w:spacing w:before="0" w:after="0" w:line="408" w:lineRule="exact"/>
        <w:ind w:left="0" w:right="0" w:firstLine="576"/>
        <w:jc w:val="left"/>
      </w:pPr>
      <w:r>
        <w:rPr/>
        <w:t xml:space="preserve">(2) When a forensic navigator receives information alleging that a person was in possession of a counterfeit substance, controlled substance, or legend drug in an amount classified as personal use, the forensic navigator must attempt to contact the individual in order to provide resources for evaluation, treatment, recovery, and support.</w:t>
      </w:r>
    </w:p>
    <w:p>
      <w:pPr>
        <w:spacing w:before="0" w:after="0" w:line="408" w:lineRule="exact"/>
        <w:ind w:left="0" w:right="0" w:firstLine="576"/>
        <w:jc w:val="left"/>
      </w:pPr>
      <w:r>
        <w:rPr/>
        <w:t xml:space="preserve">(3) Local jurisdictions are not required to use forensic navigators.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All receipts from penalties collected under RCW 69.50.445(4)(b) must be deposited into the account. Moneys in the account may be spent only after appropriation. Expenditures from the account may be used only for state and local government costs resulting from the supreme court's decision in </w:t>
      </w:r>
      <w:r>
        <w:rPr>
          <w:i/>
        </w:rPr>
        <w:t xml:space="preserve">State v. Blake</w:t>
      </w:r>
      <w:r>
        <w:rPr/>
        <w:t xml:space="preserve"> and to reimburse individuals for legal financial obligations paid in connection with sentences that have been invalidated as a result of the decision in </w:t>
      </w:r>
      <w:r>
        <w:rPr>
          <w:i/>
        </w:rPr>
        <w:t xml:space="preserve">State v. Blake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874</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On page 1, line 1 of the title, after "decision;" strike the remainder of the title and insert "amending RCW 69.50.4011, 69.50.4013, 69.50.445, 69.41.030, and 69.41.030; adding a new section to chapter 10.77 RCW; creating a new section; prescribing penalties;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Removes references to "personal use amounts". Makes changes to referral and diversion procedures. Makes local use of navigators optional. Changes infraction to class 1 infraction.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22bd65f4f4825" /></Relationships>
</file>