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3380887fc4e5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S4621.1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after "</w:t>
      </w:r>
      <w:r>
        <w:rPr>
          <w:u w:val="single"/>
        </w:rPr>
        <w:t xml:space="preserve">(i)</w:t>
      </w:r>
      <w:r>
        <w:rPr/>
        <w:t xml:space="preserve">" strike "</w:t>
      </w:r>
      <w:r>
        <w:rPr>
          <w:u w:val="single"/>
        </w:rPr>
        <w:t xml:space="preserve">Successfully</w:t>
      </w:r>
      <w:r>
        <w:rPr/>
        <w:t xml:space="preserve">" and insert "</w:t>
      </w:r>
      <w:r>
        <w:rPr>
          <w:u w:val="single"/>
        </w:rPr>
        <w:t xml:space="preserve">(A) For an applicant residing, at the time of application, in a county with a population of 250,000 or more as of the effective date of this section, successfully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 For an applicant residing, at the time of application, in a county with a population of fewer than 250,000 as of the effective date of this section, worked in the electrical construction trade for a minimum of 8,000 hours. Four thousand of the hours shall be new electrical installations in industrial or commercial facilities;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Applies the requirement that an applicant complete an apprenticeship program to be eligible to take the examination for a journey level electrician certificate of competency only to applicants residing in counties with a population of two hundred fifty thousand or more.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2802a08ab4aef" /></Relationships>
</file>