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9cd4b47444d6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S4952.1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460, line 35,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$10,996,000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470, line 4, after "</w:t>
      </w:r>
      <w:r>
        <w:rPr>
          <w:u w:val="single"/>
        </w:rPr>
        <w:t xml:space="preserve">(40)</w:t>
      </w:r>
      <w:r>
        <w:rPr/>
        <w:t xml:space="preserve">" strike all material through "</w:t>
      </w:r>
      <w:r>
        <w:rPr>
          <w:u w:val="single"/>
        </w:rPr>
        <w:t xml:space="preserve">2022</w:t>
      </w:r>
      <w:r>
        <w:rPr/>
        <w:t xml:space="preserve">" on line 31 and insert "</w:t>
      </w:r>
      <w:r>
        <w:rPr>
          <w:u w:val="single"/>
        </w:rPr>
        <w:t xml:space="preserve">$3,404,000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2023 is provided solely for the department to reduce the number of commercial gillnet fishing licenses on the Columbia river through a voluntary buy-back program, for communication and outreach with the public, to improve salmon run assessment and monitoring, and to develop alternative commercial fishing gear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amount and replaces the language pertaining to the Columbia river gillnet license buy-back program.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($10,996,000)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State/($10,996,000)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($10,996,000)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b351a347443d0" /></Relationships>
</file>