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0b6242a7f487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5980-S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S5393.2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34, strike all of section 4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"substantial" strike "and permanent"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6 of the title, after "creating" strike all material through "sections" on line 7 and insert "a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act subject to tax preference performance review and automatic expiration. Amends the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4b29e99d34aac" /></Relationships>
</file>