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8db5f5ed264996" /></Relationships>
</file>

<file path=word/document.xml><?xml version="1.0" encoding="utf-8"?>
<w:document xmlns:w="http://schemas.openxmlformats.org/wordprocessingml/2006/main">
  <w:body>
    <w:p>
      <w:r>
        <w:t>H-0129.1</w:t>
      </w:r>
    </w:p>
    <w:p>
      <w:pPr>
        <w:jc w:val="center"/>
      </w:pPr>
      <w:r>
        <w:t>_______________________________________________</w:t>
      </w:r>
    </w:p>
    <w:p/>
    <w:p>
      <w:pPr>
        <w:jc w:val="center"/>
      </w:pPr>
      <w:r>
        <w:rPr>
          <w:b/>
        </w:rPr>
        <w:t>HOUSE BILL 1013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Eslick, and Graham</w:t>
      </w:r>
    </w:p>
    <w:p/>
    <w:p>
      <w:r>
        <w:rPr>
          <w:t xml:space="preserve">Prefiled 12/09/20.</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duration of emergency rules; and amending RCW 34.05.350.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2011 1st sp.s. c 2 s 1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or 2013,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0" w:after="0" w:line="408" w:lineRule="exact"/>
        <w:ind w:left="0" w:right="0" w:firstLine="576"/>
        <w:jc w:val="left"/>
      </w:pPr>
      <w:r>
        <w:rPr>
          <w:u w:val="single"/>
        </w:rPr>
        <w:t xml:space="preserve">(4) If an emergency rule is adopted by an agency in response to the governor proclaiming a state of emergency under RCW 43.06.010, leadership of the senate and the house of representatives may petition the agency to limit the duration of the emergency rule. If at least three of the four leaders sign the petition, the rule may not remain in effect for longer than 30 days after the petition is sent to the agency.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subsection does not prohibit adoption of any rule as a permanent rule. For purposes of this section, "leadership of the senate and the house of representatives" means the majority and minority leaders of the senate and the speaker and the minority leader of the house of representatives.</w:t>
      </w:r>
    </w:p>
    <w:p/>
    <w:p>
      <w:pPr>
        <w:jc w:val="center"/>
      </w:pPr>
      <w:r>
        <w:rPr>
          <w:b/>
        </w:rPr>
        <w:t>--- END ---</w:t>
      </w:r>
    </w:p>
    <w:sectPr>
      <w:pgNumType w:start="1"/>
      <w:footerReference xmlns:r="http://schemas.openxmlformats.org/officeDocument/2006/relationships" r:id="Re89ddf6c7c2c4d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c040576c764bb7" /><Relationship Type="http://schemas.openxmlformats.org/officeDocument/2006/relationships/footer" Target="/word/footer1.xml" Id="Re89ddf6c7c2c4dc3" /></Relationships>
</file>