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a64530c75045ed" /></Relationships>
</file>

<file path=word/document.xml><?xml version="1.0" encoding="utf-8"?>
<w:document xmlns:w="http://schemas.openxmlformats.org/wordprocessingml/2006/main">
  <w:body>
    <w:p>
      <w:r>
        <w:t>H-0511.1</w:t>
      </w:r>
    </w:p>
    <w:p>
      <w:pPr>
        <w:jc w:val="center"/>
      </w:pPr>
      <w:r>
        <w:t>_______________________________________________</w:t>
      </w:r>
    </w:p>
    <w:p/>
    <w:p>
      <w:pPr>
        <w:jc w:val="center"/>
      </w:pPr>
      <w:r>
        <w:rPr>
          <w:b/>
        </w:rPr>
        <w:t>SUBSTITUTE HOUSE BILL 1015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Consumer Protection &amp; Business (originally sponsored by Representatives Maycumber, Chapman, Tharinger, Graham, Santos, and Macri)</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equitable access to credit act;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7 of this act).</w:t>
      </w:r>
    </w:p>
    <w:p>
      <w:pPr>
        <w:spacing w:before="0" w:after="0" w:line="408" w:lineRule="exact"/>
        <w:ind w:left="0" w:right="0" w:firstLine="576"/>
        <w:jc w:val="left"/>
      </w:pPr>
      <w:r>
        <w:rPr/>
        <w:t xml:space="preserve">(2) The person must make the contribution before claiming a credit authorized under this section. The credit may be used against any tax due under this chapter and may be carried over until used. The amount of the credit claimed for a reporting period may not exceed the tax otherwise due under this chapter for that reporting period. No person may claim more than one million dollars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eight million dollars.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department may not allow any credit under this section before January 1, 2021.</w:t>
      </w:r>
    </w:p>
    <w:p>
      <w:pPr>
        <w:spacing w:before="0" w:after="0" w:line="408" w:lineRule="exact"/>
        <w:ind w:left="0" w:right="0" w:firstLine="576"/>
        <w:jc w:val="left"/>
      </w:pPr>
      <w:r>
        <w:rPr/>
        <w:t xml:space="preserve">(8) No credit may be earned for contributions made on or after June 30, 2031. Credits may be claimed as provided in subsections (2) through (4) of this section.</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guidelines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twenty-five percent of all grants awarded in any calendar year may be awarded to the same grant recipient;</w:t>
      </w:r>
    </w:p>
    <w:p>
      <w:pPr>
        <w:spacing w:before="0" w:after="0" w:line="408" w:lineRule="exact"/>
        <w:ind w:left="0" w:right="0" w:firstLine="576"/>
        <w:jc w:val="left"/>
      </w:pPr>
      <w:r>
        <w:rPr/>
        <w:t xml:space="preserve">(b) Up to twenty percent of an individual grant award may be used by the grant recipient to fund a loan loss reserve, technical assistance, and/or small business training programs; and</w:t>
      </w:r>
    </w:p>
    <w:p>
      <w:pPr>
        <w:spacing w:before="0" w:after="0" w:line="408" w:lineRule="exact"/>
        <w:ind w:left="0" w:right="0" w:firstLine="576"/>
        <w:jc w:val="left"/>
      </w:pPr>
      <w:r>
        <w:rPr/>
        <w:t xml:space="preserve">(c) At least seventy-five percent of the value of all grants awarded in any calendar year must be provided for grantees to provide services or invest, or both, in rural counties as defined in RCW 82.14.370.</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twenty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fifty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three million dollars at the time of the grant application; or</w:t>
      </w:r>
    </w:p>
    <w:p>
      <w:pPr>
        <w:spacing w:before="0" w:after="0" w:line="408" w:lineRule="exact"/>
        <w:ind w:left="0" w:right="0" w:firstLine="576"/>
        <w:jc w:val="left"/>
      </w:pPr>
      <w:r>
        <w:rPr/>
        <w:t xml:space="preserve">(iii) At least a one-to-one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three million or more dollars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Grants from the equitable access to credit program to a qualified lending institution will be awarded by a review committee. The department of commerce is responsible for convening and staffing the review committee. The department of commerce shall seek, to the greatest extent possible, to achieve a fair geographic balance in the composition of the review committee. The department of commerce is encouraged to seek representation on the committee from the following: Representatives of the banking industry who are familiar with community development financial institutions; economic development professionals who have experience in rural development; representatives of local government; representatives of federally recognized Indian tribes; and small business representatives who have experience working with community development financial institutions or in rural development.</w:t>
      </w:r>
    </w:p>
    <w:p>
      <w:pPr>
        <w:spacing w:before="0" w:after="0" w:line="408" w:lineRule="exact"/>
        <w:ind w:left="0" w:right="0" w:firstLine="576"/>
        <w:jc w:val="left"/>
      </w:pPr>
      <w:r>
        <w:rPr/>
        <w:t xml:space="preserve">(5) In making awards from the equitable access to credit program, the review committee must consider the following:</w:t>
      </w:r>
    </w:p>
    <w:p>
      <w:pPr>
        <w:spacing w:before="0" w:after="0" w:line="408" w:lineRule="exact"/>
        <w:ind w:left="0" w:right="0" w:firstLine="576"/>
        <w:jc w:val="left"/>
      </w:pPr>
      <w:r>
        <w:rPr/>
        <w:t xml:space="preserve">(a)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(b) Funds leveraged by the proposed grant award, which may be no less than one-to-one for certified community development financial institutions with net assets of three million or more dollars at the time of the grant application;</w:t>
      </w:r>
    </w:p>
    <w:p>
      <w:pPr>
        <w:spacing w:before="0" w:after="0" w:line="408" w:lineRule="exact"/>
        <w:ind w:left="0" w:right="0" w:firstLine="576"/>
        <w:jc w:val="left"/>
      </w:pPr>
      <w:r>
        <w:rPr/>
        <w:t xml:space="preserve">(c) Projected loan or investment production with the award over the performance period of the grant;</w:t>
      </w:r>
    </w:p>
    <w:p>
      <w:pPr>
        <w:spacing w:before="0" w:after="0" w:line="408" w:lineRule="exact"/>
        <w:ind w:left="0" w:right="0" w:firstLine="576"/>
        <w:jc w:val="left"/>
      </w:pPr>
      <w:r>
        <w:rPr/>
        <w:t xml:space="preserve">(d) How the award supports the growth of the qualified lending institution;</w:t>
      </w:r>
    </w:p>
    <w:p>
      <w:pPr>
        <w:spacing w:before="0" w:after="0" w:line="408" w:lineRule="exact"/>
        <w:ind w:left="0" w:right="0" w:firstLine="576"/>
        <w:jc w:val="left"/>
      </w:pPr>
      <w:r>
        <w:rPr/>
        <w:t xml:space="preserve">(e)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(f)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(6) The department of commerce may award grants from the equitable access to credit program beginning six months after the first tax credits are claimed pursuant to section 2 of this act. The department of commerce must cease to award grants from the equitable access to credit program upon the expiration of this chapter.</w:t>
      </w:r>
    </w:p>
    <w:p>
      <w:pPr>
        <w:spacing w:before="0" w:after="0" w:line="408" w:lineRule="exact"/>
        <w:ind w:left="0" w:right="0" w:firstLine="576"/>
        <w:jc w:val="left"/>
      </w:pPr>
      <w:r>
        <w:rPr/>
        <w:t xml:space="preserve">(7) Once a loan or investment made by a qualified lending institution using funds awarded from the equitable access to credit program has been repaid, the qualified lending institution must reloan the repaid funds consistent with the terms of this chapter for a period of ten years from the date of the grant award.</w:t>
      </w:r>
    </w:p>
    <w:p>
      <w:pPr>
        <w:spacing w:before="0" w:after="0" w:line="408" w:lineRule="exact"/>
        <w:ind w:left="0" w:right="0" w:firstLine="576"/>
        <w:jc w:val="left"/>
      </w:pPr>
      <w:r>
        <w:rPr/>
        <w:t xml:space="preserve">(8)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An anonymized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term;</w:t>
      </w:r>
    </w:p>
    <w:p>
      <w:pPr>
        <w:spacing w:before="0" w:after="0" w:line="408" w:lineRule="exact"/>
        <w:ind w:left="0" w:right="0" w:firstLine="576"/>
        <w:jc w:val="left"/>
      </w:pPr>
      <w:r>
        <w:rPr/>
        <w:t xml:space="preserve">(vi) The number of permanent full-time equivalent jobs projected to be created in the business due to this financing;</w:t>
      </w:r>
    </w:p>
    <w:p>
      <w:pPr>
        <w:spacing w:before="0" w:after="0" w:line="408" w:lineRule="exact"/>
        <w:ind w:left="0" w:right="0" w:firstLine="576"/>
        <w:jc w:val="left"/>
      </w:pPr>
      <w:r>
        <w:rPr/>
        <w:t xml:space="preserve">(vii) Whether the loan or investment utilized a guarantee program;</w:t>
      </w:r>
    </w:p>
    <w:p>
      <w:pPr>
        <w:spacing w:before="0" w:after="0" w:line="408" w:lineRule="exact"/>
        <w:ind w:left="0" w:right="0" w:firstLine="576"/>
        <w:jc w:val="left"/>
      </w:pPr>
      <w:r>
        <w:rPr/>
        <w:t xml:space="preserve">(viii) The North American industry classification system code;</w:t>
      </w:r>
    </w:p>
    <w:p>
      <w:pPr>
        <w:spacing w:before="0" w:after="0" w:line="408" w:lineRule="exact"/>
        <w:ind w:left="0" w:right="0" w:firstLine="576"/>
        <w:jc w:val="left"/>
      </w:pPr>
      <w:r>
        <w:rPr/>
        <w:t xml:space="preserve">(ix) The entity structure;</w:t>
      </w:r>
    </w:p>
    <w:p>
      <w:pPr>
        <w:spacing w:before="0" w:after="0" w:line="408" w:lineRule="exact"/>
        <w:ind w:left="0" w:right="0" w:firstLine="576"/>
        <w:jc w:val="left"/>
      </w:pPr>
      <w:r>
        <w:rPr/>
        <w:t xml:space="preserve">(x) Whether the investee or borrower is more than fifty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 The race of the primary investee(s) or borrower(s);</w:t>
      </w:r>
    </w:p>
    <w:p>
      <w:pPr>
        <w:spacing w:before="0" w:after="0" w:line="408" w:lineRule="exact"/>
        <w:ind w:left="0" w:right="0" w:firstLine="576"/>
        <w:jc w:val="left"/>
      </w:pPr>
      <w:r>
        <w:rPr/>
        <w:t xml:space="preserve">(xii) Whether the primary investee or borrower is Hispanic or Latino; and</w:t>
      </w:r>
    </w:p>
    <w:p>
      <w:pPr>
        <w:spacing w:before="0" w:after="0" w:line="408" w:lineRule="exact"/>
        <w:ind w:left="0" w:right="0" w:firstLine="576"/>
        <w:jc w:val="left"/>
      </w:pPr>
      <w:r>
        <w:rPr/>
        <w:t xml:space="preserve">(xiii)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(9) No later than September 15th of each year, beginning in 2021,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(8)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 which should exceed a one-to-one ratio;</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f44986f4be143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81cbac58f4f52" /><Relationship Type="http://schemas.openxmlformats.org/officeDocument/2006/relationships/footer" Target="/word/footer1.xml" Id="R0f44986f4be1439d" /></Relationships>
</file>