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1e9fbc5884bfc" /></Relationships>
</file>

<file path=word/document.xml><?xml version="1.0" encoding="utf-8"?>
<w:document xmlns:w="http://schemas.openxmlformats.org/wordprocessingml/2006/main">
  <w:body>
    <w:p>
      <w:r>
        <w:t>H-0358.1</w:t>
      </w:r>
    </w:p>
    <w:p>
      <w:pPr>
        <w:jc w:val="center"/>
      </w:pPr>
      <w:r>
        <w:t>_______________________________________________</w:t>
      </w:r>
    </w:p>
    <w:p/>
    <w:p>
      <w:pPr>
        <w:jc w:val="center"/>
      </w:pPr>
      <w:r>
        <w:rPr>
          <w:b/>
        </w:rPr>
        <w:t>SUBSTITUTE HOUSE BILL 1052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Bateman, Cody, Kloba, and Macri)</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group insurance contract performance standards; amending RCW 48.30.140 and 48.30.150; adding a new section to chapter 48.30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insurance code and performance-based contracting to ensure the continued practice of using performance standards and performance guarantees in group insurance contracts, including those entered into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means a 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 Group policyholders and insurers or health carriers may calculate the amount of the penalty based on a percentage of the overall premium owed to the insurer or health carrier by the policyholder.</w:t>
      </w:r>
    </w:p>
    <w:p>
      <w:pPr>
        <w:spacing w:before="0" w:after="0" w:line="408" w:lineRule="exact"/>
        <w:ind w:left="0" w:right="0" w:firstLine="576"/>
        <w:jc w:val="left"/>
      </w:pPr>
      <w:r>
        <w:rPr/>
        <w:t xml:space="preserve">(2) Remittance of a performance payment to the group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 group insurance contract includes any performance standards, the insurer or health carrier must describe the performance standards in the group insurance contract and file the contract with the commissioner.</w:t>
      </w:r>
    </w:p>
    <w:p>
      <w:pPr>
        <w:spacing w:before="0" w:after="0" w:line="408" w:lineRule="exact"/>
        <w:ind w:left="0" w:right="0" w:firstLine="576"/>
        <w:jc w:val="left"/>
      </w:pPr>
      <w:r>
        <w:rPr/>
        <w:t xml:space="preserve">(4) Remittance of a performance payment to the group policyholder in compliance with this section must not be considered a return premium for purposes of RCW 48.14.020 and 48.14.0201.</w:t>
      </w:r>
    </w:p>
    <w:p>
      <w:pPr>
        <w:spacing w:before="0" w:after="0" w:line="408" w:lineRule="exact"/>
        <w:ind w:left="0" w:right="0" w:firstLine="576"/>
        <w:jc w:val="left"/>
      </w:pPr>
      <w:r>
        <w:rPr/>
        <w:t xml:space="preserve">(5) This section does not apply to small groups as defined in RCW 48.43.005.</w:t>
      </w:r>
    </w:p>
    <w:p>
      <w:pPr>
        <w:spacing w:before="0" w:after="0" w:line="408" w:lineRule="exact"/>
        <w:ind w:left="0" w:right="0" w:firstLine="576"/>
        <w:jc w:val="left"/>
      </w:pPr>
      <w:r>
        <w:rPr/>
        <w:t xml:space="preserve">(6) The commissioner may adopt rules to implement this section.</w:t>
      </w:r>
    </w:p>
    <w:p>
      <w:pPr>
        <w:spacing w:before="0" w:after="0" w:line="408" w:lineRule="exact"/>
        <w:ind w:left="0" w:right="0" w:firstLine="576"/>
        <w:jc w:val="left"/>
      </w:pPr>
      <w:r>
        <w:rPr/>
        <w:t xml:space="preserve">(7) For the purposes of this section, "health carrier" has the meaning provided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2020 c 197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0" w:after="0" w:line="408" w:lineRule="exact"/>
        <w:ind w:left="0" w:right="0" w:firstLine="576"/>
        <w:jc w:val="left"/>
      </w:pPr>
      <w:r>
        <w:rPr>
          <w:u w:val="single"/>
        </w:rPr>
        <w:t xml:space="preserve">(10) Subsection (1) of this section does not apply to a performance standard offered or provided in compliance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2020 c 197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0" w:after="0" w:line="408" w:lineRule="exact"/>
        <w:ind w:left="0" w:right="0" w:firstLine="576"/>
        <w:jc w:val="left"/>
      </w:pPr>
      <w:r>
        <w:rPr>
          <w:u w:val="single"/>
        </w:rPr>
        <w:t xml:space="preserve">(7) Subsection (1) of this section does not apply to a performance standard offered or provided in compliance with section 2 of this act.</w:t>
      </w:r>
    </w:p>
    <w:p/>
    <w:p>
      <w:pPr>
        <w:jc w:val="center"/>
      </w:pPr>
      <w:r>
        <w:rPr>
          <w:b/>
        </w:rPr>
        <w:t>--- END ---</w:t>
      </w:r>
    </w:p>
    <w:sectPr>
      <w:pgNumType w:start="1"/>
      <w:footerReference xmlns:r="http://schemas.openxmlformats.org/officeDocument/2006/relationships" r:id="R207e81c4e91e41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c7853457c4bbd" /><Relationship Type="http://schemas.openxmlformats.org/officeDocument/2006/relationships/footer" Target="/word/footer1.xml" Id="R207e81c4e91e4120" /></Relationships>
</file>