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70c4ce0cf47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Pollet, Duerr, Leavitt, Wylie, Tharinger, Kloba, Senn, Ryu, Callan, and Fey)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82.14.460,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rPr/>
        <w:t xml:space="preserve">(6)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w:t>
      </w:r>
      <w:r>
        <w:rPr>
          <w:u w:val="single"/>
        </w:rPr>
        <w:t xml:space="preserve">Moneys collected by cities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w:t>
      </w:r>
      <w:r>
        <w:rPr/>
        <w:t xml:space="preserve">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the greater of $100,000 or 35 percent of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w:t>
      </w:r>
      <w:r>
        <w:rPr>
          <w:u w:val="single"/>
        </w:rPr>
        <w:t xml:space="preserve">except for the period from the effective date of this section through December 31, 2023, when the greater of $100,000 or 35 percent may be used</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and</w:t>
      </w:r>
      <w:r>
        <w:t>))</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r>
        <w:rPr>
          <w:u w:val="single"/>
        </w:rPr>
        <w:t xml:space="preserve">; and</w:t>
      </w:r>
    </w:p>
    <w:p>
      <w:pPr>
        <w:spacing w:before="0" w:after="0" w:line="408" w:lineRule="exact"/>
        <w:ind w:left="0" w:right="0" w:firstLine="576"/>
        <w:jc w:val="left"/>
      </w:pPr>
      <w:r>
        <w:rPr>
          <w:u w:val="single"/>
        </w:rPr>
        <w:t xml:space="preserve">(c) The operation of, and service support for, existing capital projects as included in the definition of capital project in RCW 82.46.035(5) and 82.46.010(6)(b), from the effective date of this section through December 31, 2023</w:t>
      </w:r>
      <w:r>
        <w:rPr/>
        <w:t xml:space="preserve">.</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2019,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e2a352b61741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b0eadf77d483f" /><Relationship Type="http://schemas.openxmlformats.org/officeDocument/2006/relationships/footer" Target="/word/footer1.xml" Id="R49e2a352b617417a" /></Relationships>
</file>