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c15a75a5e145e4" /></Relationships>
</file>

<file path=word/document.xml><?xml version="1.0" encoding="utf-8"?>
<w:document xmlns:w="http://schemas.openxmlformats.org/wordprocessingml/2006/main">
  <w:body>
    <w:p>
      <w:r>
        <w:t>Z-0107.1</w:t>
      </w:r>
    </w:p>
    <w:p>
      <w:pPr>
        <w:jc w:val="center"/>
      </w:pPr>
      <w:r>
        <w:t>_______________________________________________</w:t>
      </w:r>
    </w:p>
    <w:p/>
    <w:p>
      <w:pPr>
        <w:jc w:val="center"/>
      </w:pPr>
      <w:r>
        <w:rPr>
          <w:b/>
        </w:rPr>
        <w:t>HOUSE BILL 1081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Tharinger, Wylie, Callan, and Hackney; by request of Office of Financial Management</w:t>
      </w:r>
    </w:p>
    <w:p/>
    <w:p>
      <w:r>
        <w:rPr>
          <w:t xml:space="preserve">Prefiled 01/05/21.</w:t>
        </w:rPr>
      </w:r>
      <w:r>
        <w:rPr>
          <w:t xml:space="preserve">Read first time 01/11/21.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2019-2021 and 2021-2023 fiscal biennia, and all costs incidental thereto, the state finance committee is authorized to issue general obligation bonds of the state of Washington in the sum of $4,800,864,745,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$4,240,065,000 to remain in the state building construction account created by RCW 43.83.020;</w:t>
      </w:r>
    </w:p>
    <w:p>
      <w:pPr>
        <w:spacing w:before="0" w:after="0" w:line="408" w:lineRule="exact"/>
        <w:ind w:left="0" w:right="0" w:firstLine="576"/>
        <w:jc w:val="left"/>
      </w:pPr>
      <w:r>
        <w:rPr/>
        <w:t xml:space="preserve">(b) $560,800,000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(3)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f9f25f22aed4d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17507bcc34191" /><Relationship Type="http://schemas.openxmlformats.org/officeDocument/2006/relationships/footer" Target="/word/footer1.xml" Id="R6f9f25f22aed4dbe" /></Relationships>
</file>