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d68d5d37a4e70" /></Relationships>
</file>

<file path=word/document.xml><?xml version="1.0" encoding="utf-8"?>
<w:document xmlns:w="http://schemas.openxmlformats.org/wordprocessingml/2006/main">
  <w:body>
    <w:p>
      <w:r>
        <w:t>H-0557.4</w:t>
      </w:r>
    </w:p>
    <w:p>
      <w:pPr>
        <w:jc w:val="center"/>
      </w:pPr>
      <w:r>
        <w:t>_______________________________________________</w:t>
      </w:r>
    </w:p>
    <w:p/>
    <w:p>
      <w:pPr>
        <w:jc w:val="center"/>
      </w:pPr>
      <w:r>
        <w:rPr>
          <w:b/>
        </w:rPr>
        <w:t>SUBSTITUTE HOUSE BILL 1103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Duerr, Shewmake, Fitzgibbon, Bateman, Ramel, Ryu, Kloba, and Macri)</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and social outcomes with the production of building materials; amending RCW 43.88.0301;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accelerate necessary greenhouse gas reductions,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does not currently spend public dollars for materials on state-funded infrastructure projects in a way that is consistent with the state's carbon reduction goals or its high environmental and labor standards. Meanwhile, the private sector is increasingly demanding building materials that reduce carbon and other types of pollution and support good jobs in manufacturing. For state spending, manufacturers that exploit workers and the environment are treated the same as manufacturers that meet high environmental and labor standards. This treatment puts manufacturers that invest in emissions reduction technologies, other pollution controls, and a 21st century workforce at a competitive disadvantage for state projects.</w:t>
      </w:r>
    </w:p>
    <w:p>
      <w:pPr>
        <w:spacing w:before="0" w:after="0" w:line="408" w:lineRule="exact"/>
        <w:ind w:left="0" w:right="0" w:firstLine="576"/>
        <w:jc w:val="left"/>
      </w:pPr>
      <w:r>
        <w:rPr/>
        <w:t xml:space="preserve">(3) Incorporating carbon pollution, other types of pollution impacts, and working conditions into the procurement process will level the playing field for manufacturers that meet high environmental and labor standards. This process will encourage other manufacturers to reduce greenhouse gas emissions, invest in pollution controls, and improve working conditions while growing the demand for ethically produced materials with a smaller environmental footprint.</w:t>
      </w:r>
    </w:p>
    <w:p>
      <w:pPr>
        <w:spacing w:before="0" w:after="0" w:line="408" w:lineRule="exact"/>
        <w:ind w:left="0" w:right="0" w:firstLine="576"/>
        <w:jc w:val="left"/>
      </w:pPr>
      <w:r>
        <w:rPr/>
        <w:t xml:space="preserve">(4) Washington state is already home to multiple world-class manufacturing facilities and with a low carbon electric grid and highly skilled workforce, the state is well-positioned to capture the growing demand for low carbon materials and create and sustain a new generation of good, high-wage clean manufacturing jobs. By leveling the playing field for manufacturers that meet high environmental and labor standards and meeting the growing demand for ethically and sustainably produced materials, Washington's manufacturing base will continue to expand.</w:t>
      </w:r>
    </w:p>
    <w:p>
      <w:pPr>
        <w:spacing w:before="0" w:after="0" w:line="408" w:lineRule="exact"/>
        <w:ind w:left="0" w:right="0" w:firstLine="576"/>
        <w:jc w:val="left"/>
      </w:pPr>
      <w:r>
        <w:rPr/>
        <w:t xml:space="preserve">(5) Incorporating emissions and working conditions into the procurement process will also improve the state's ability to make purchasing decisions that align with its carbon reduction goals and economic development goals.</w:t>
      </w:r>
    </w:p>
    <w:p>
      <w:pPr>
        <w:spacing w:before="0" w:after="0" w:line="408" w:lineRule="exact"/>
        <w:ind w:left="0" w:right="0" w:firstLine="576"/>
        <w:jc w:val="left"/>
      </w:pPr>
      <w:r>
        <w:rPr/>
        <w:t xml:space="preserve">(6) Environmental product declarations are the best available tool for reporting product-specific environmental impacts using a life-cycle assessment and informing the procurement of low carbon building materials. Environmental product declarations enable fair comparison of products fulfilling the same function and performance characteristics within a product category. To be comparable, environmental product declarations must follow the same product category rule and include identical life-cycle stages.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(7) Great quantities of greenhouse gas emissions are released during the manufacturing of building materials and the state and local government are among the largest consumers of these building materials.</w:t>
      </w:r>
    </w:p>
    <w:p>
      <w:pPr>
        <w:spacing w:before="0" w:after="0" w:line="408" w:lineRule="exact"/>
        <w:ind w:left="0" w:right="0" w:firstLine="576"/>
        <w:jc w:val="left"/>
      </w:pPr>
      <w:r>
        <w:rPr/>
        <w:t xml:space="preserve">(8) The legislature has committed to carbon reduction measures by requiring action by public agencies. Those actions do not currently encourage public dollars to be spent in a way that is consistent with the state's carbon reduction goals as it relates to the global warming potential embedded within the materials procured for state-funded infrastructure projects.</w:t>
      </w:r>
    </w:p>
    <w:p>
      <w:pPr>
        <w:spacing w:before="0" w:after="0" w:line="408" w:lineRule="exact"/>
        <w:ind w:left="0" w:right="0" w:firstLine="576"/>
        <w:jc w:val="left"/>
      </w:pPr>
      <w:r>
        <w:rPr/>
        <w:t xml:space="preserve">(9) The buy clean and buy fair policies established in this chapter are critical to reduce embodied carbon in the built environment, a goal identified in the Washington state 2021 energy strategy to meet the state's greenhouse gas emission limits and governor Inslee's Executive Order 20-01 on state efficiency and environmental performance.</w:t>
      </w:r>
    </w:p>
    <w:p>
      <w:pPr>
        <w:spacing w:before="0" w:after="0" w:line="408" w:lineRule="exact"/>
        <w:ind w:left="0" w:right="0" w:firstLine="576"/>
        <w:jc w:val="left"/>
      </w:pPr>
      <w:r>
        <w:rPr/>
        <w:t xml:space="preserve">(10) Providing financial assistance to small manufacturers to support the production of environmental product declarations will ensure that small manufacturers are not put at a competitive disadvantage in state contracting as a result of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(3)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 tensioning tendons;</w:t>
      </w:r>
    </w:p>
    <w:p>
      <w:pPr>
        <w:spacing w:before="0" w:after="0" w:line="408" w:lineRule="exact"/>
        <w:ind w:left="0" w:right="0" w:firstLine="576"/>
        <w:jc w:val="left"/>
      </w:pPr>
      <w:r>
        <w:rPr/>
        <w:t xml:space="preserve">(c) Structural steel products, specifically hot rolled sections, hollow sections, and plate; and</w:t>
      </w:r>
    </w:p>
    <w:p>
      <w:pPr>
        <w:spacing w:before="0" w:after="0" w:line="408" w:lineRule="exact"/>
        <w:ind w:left="0" w:right="0" w:firstLine="576"/>
        <w:jc w:val="left"/>
      </w:pPr>
      <w:r>
        <w:rPr/>
        <w:t xml:space="preserve">(d) Engineered wood products, specifically composite lumber and mass timber.</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of space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 according to national law or its application.</w:t>
      </w:r>
    </w:p>
    <w:p>
      <w:pPr>
        <w:spacing w:before="0" w:after="0" w:line="408" w:lineRule="exact"/>
        <w:ind w:left="0" w:right="0" w:firstLine="576"/>
        <w:jc w:val="left"/>
      </w:pPr>
      <w:r>
        <w:rPr/>
        <w:t xml:space="preserve">(7)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(8) "Full-time" employee means an employee with an employment contract that is for at least 12 consecutive months and whose working hours per week, month, or year are defined as full time according to national law or practice regarding working time.</w:t>
      </w:r>
    </w:p>
    <w:p>
      <w:pPr>
        <w:spacing w:before="0" w:after="0" w:line="408" w:lineRule="exact"/>
        <w:ind w:left="0" w:right="0" w:firstLine="576"/>
        <w:jc w:val="left"/>
      </w:pPr>
      <w:r>
        <w:rPr/>
        <w:t xml:space="preserve">(9) "Greenhouse gas" has the same meaning as in RCW 70A.45.010.</w:t>
      </w:r>
    </w:p>
    <w:p>
      <w:pPr>
        <w:spacing w:before="0" w:after="0" w:line="408" w:lineRule="exact"/>
        <w:ind w:left="0" w:right="0" w:firstLine="576"/>
        <w:jc w:val="left"/>
      </w:pPr>
      <w:r>
        <w:rPr/>
        <w:t xml:space="preserve">(10) "Health certification" means a health product declaration, as reported in accordance with the health product declaration open standard, and any product certification that includes health-related criteria.</w:t>
      </w:r>
    </w:p>
    <w:p>
      <w:pPr>
        <w:spacing w:before="0" w:after="0" w:line="408" w:lineRule="exact"/>
        <w:ind w:left="0" w:right="0" w:firstLine="576"/>
        <w:jc w:val="left"/>
      </w:pPr>
      <w:r>
        <w:rPr/>
        <w:t xml:space="preserve">(11)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(12) "Nonsupervisory employees" means every employee except those whose responsibility it is to supervise, plan, or direct the work of others, including working supervisors and group leaders who may be in charge of a group of employees, but whose supervisory functions are only incidental to their regular work.</w:t>
      </w:r>
    </w:p>
    <w:p>
      <w:pPr>
        <w:spacing w:before="0" w:after="0" w:line="408" w:lineRule="exact"/>
        <w:ind w:left="0" w:right="0" w:firstLine="576"/>
        <w:jc w:val="left"/>
      </w:pPr>
      <w:r>
        <w:rPr/>
        <w:t xml:space="preserve">(13) "Part-time" employee means an employee with an employment contract that is for at least 12 consecutive months and whose working hours are less than required for a full-time employee, as defined in subsection (8) of this section.</w:t>
      </w:r>
    </w:p>
    <w:p>
      <w:pPr>
        <w:spacing w:before="0" w:after="0" w:line="408" w:lineRule="exact"/>
        <w:ind w:left="0" w:right="0" w:firstLine="576"/>
        <w:jc w:val="left"/>
      </w:pPr>
      <w:r>
        <w:rPr/>
        <w:t xml:space="preserve">(14) "Production employees" means every employee with a production occupation, as defined by the standard occupation classification code 51-0000.</w:t>
      </w:r>
    </w:p>
    <w:p>
      <w:pPr>
        <w:spacing w:before="0" w:after="0" w:line="408" w:lineRule="exact"/>
        <w:ind w:left="0" w:right="0" w:firstLine="576"/>
        <w:jc w:val="left"/>
      </w:pPr>
      <w:r>
        <w:rPr/>
        <w:t xml:space="preserve">(15) "Supply chain specific" means an environmental product declaration that includes supply chain specific data for production processes that contribute to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e.g., federal, state, private, or other.</w:t>
      </w:r>
    </w:p>
    <w:p>
      <w:pPr>
        <w:spacing w:before="0" w:after="0" w:line="408" w:lineRule="exact"/>
        <w:ind w:left="0" w:right="0" w:firstLine="576"/>
        <w:jc w:val="left"/>
      </w:pPr>
      <w:r>
        <w:rPr/>
        <w:t xml:space="preserve">(16) "Temporary" employee means an employee who has an employment contract that is for fewer than 12 months or who is terminated by a specific event including, but not limited to, the end of a project or the return of replaced employees.</w:t>
      </w:r>
    </w:p>
    <w:p>
      <w:pPr>
        <w:spacing w:before="0" w:after="0" w:line="408" w:lineRule="exact"/>
        <w:ind w:left="0" w:right="0" w:firstLine="576"/>
        <w:jc w:val="left"/>
      </w:pPr>
      <w:r>
        <w:rPr/>
        <w:t xml:space="preserve">(17)(a)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1-19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(b) For the purpose of this subsection, "average" means the mean value:</w:t>
      </w:r>
    </w:p>
    <w:p>
      <w:pPr>
        <w:spacing w:before="0" w:after="0" w:line="408" w:lineRule="exact"/>
        <w:ind w:left="0" w:right="0" w:firstLine="576"/>
        <w:jc w:val="left"/>
      </w:pPr>
      <w:r>
        <w:rPr/>
        <w:t xml:space="preserve">(i) For the two previous years; or</w:t>
      </w:r>
    </w:p>
    <w:p>
      <w:pPr>
        <w:spacing w:before="0" w:after="0" w:line="408" w:lineRule="exact"/>
        <w:ind w:left="0" w:right="0" w:firstLine="576"/>
        <w:jc w:val="left"/>
      </w:pPr>
      <w:r>
        <w:rPr/>
        <w:t xml:space="preserve">(ii) If the business has been operational for less than two years, since the business has been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2021, an awarding authority must encourage, but may not require, the selected firm for a contract for a covered project to submit the following data for each covered product used prior to the final construction retainage payment:</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certifications,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(vi) Names and locations, including state or province and country, of the actual production facilities; and</w:t>
      </w:r>
    </w:p>
    <w:p>
      <w:pPr>
        <w:spacing w:before="0" w:after="0" w:line="408" w:lineRule="exact"/>
        <w:ind w:left="0" w:right="0" w:firstLine="576"/>
        <w:jc w:val="left"/>
      </w:pPr>
      <w:r>
        <w:rPr/>
        <w:t xml:space="preserve">(vii) Working conditions at the actual production facilities for all employees.</w:t>
      </w:r>
    </w:p>
    <w:p>
      <w:pPr>
        <w:spacing w:before="0" w:after="0" w:line="408" w:lineRule="exact"/>
        <w:ind w:left="0" w:right="0" w:firstLine="576"/>
        <w:jc w:val="left"/>
      </w:pPr>
      <w:r>
        <w:rPr/>
        <w:t xml:space="preserve">(b) Beginning July 1, 2022, an awarding authority shall require the selected firm for a contract for a covered project to submit the data required by (a) of this subsection for each covered product used before substantial completion.</w:t>
      </w:r>
    </w:p>
    <w:p>
      <w:pPr>
        <w:spacing w:before="0" w:after="0" w:line="408" w:lineRule="exact"/>
        <w:ind w:left="0" w:right="0" w:firstLine="576"/>
        <w:jc w:val="left"/>
      </w:pPr>
      <w:r>
        <w:rPr/>
        <w:t xml:space="preserve">(c) Beginning July 1, 2023, an awarding authority shall require the selected firm for a contract for a covered project to submit the data required by (a) of this subsection for each covered product used before the material is installed in the project.</w:t>
      </w:r>
    </w:p>
    <w:p>
      <w:pPr>
        <w:spacing w:before="0" w:after="0" w:line="408" w:lineRule="exact"/>
        <w:ind w:left="0" w:right="0" w:firstLine="576"/>
        <w:jc w:val="left"/>
      </w:pPr>
      <w:r>
        <w:rPr/>
        <w:t xml:space="preserve">(d)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University of Washington college of built environments shall create a publicly accessible database with projects anonymized for selected firms for contracts for covered projects to report the data required in subsection (1) of this section to the state and to promote transparency.</w:t>
      </w:r>
    </w:p>
    <w:p>
      <w:pPr>
        <w:spacing w:before="0" w:after="0" w:line="408" w:lineRule="exact"/>
        <w:ind w:left="0" w:right="0" w:firstLine="576"/>
        <w:jc w:val="left"/>
      </w:pPr>
      <w:r>
        <w:rPr/>
        <w:t xml:space="preserve">(3) The database created by the University of Washington college of built environments pursuant to subsection (2) of this section will publish global warming potential as reported in the environmental product declarations.</w:t>
      </w:r>
    </w:p>
    <w:p>
      <w:pPr>
        <w:spacing w:before="0" w:after="0" w:line="408" w:lineRule="exact"/>
        <w:ind w:left="0" w:right="0" w:firstLine="576"/>
        <w:jc w:val="left"/>
      </w:pPr>
      <w:r>
        <w:rPr/>
        <w:t xml:space="preserve">(4) The selected firm for a contract for a covered project must make good-faith effort to meet the requirements of subsection (1) of this section.</w:t>
      </w:r>
    </w:p>
    <w:p>
      <w:pPr>
        <w:spacing w:before="0" w:after="0" w:line="408" w:lineRule="exact"/>
        <w:ind w:left="0" w:right="0" w:firstLine="576"/>
        <w:jc w:val="left"/>
      </w:pPr>
      <w:r>
        <w:rPr/>
        <w:t xml:space="preserve">(5) If the selected firm for a contract for a covered project cannot meet the requirements of subsection (1) of this section, then the selected firm must report on and provide documentation, including, but not limited to, letters, emails, and phone logs with names, dates, and outcomes, demonstrating the specific steps undertaken to reasonably obtain the data.</w:t>
      </w:r>
    </w:p>
    <w:p>
      <w:pPr>
        <w:spacing w:before="0" w:after="0" w:line="408" w:lineRule="exact"/>
        <w:ind w:left="0" w:right="0" w:firstLine="576"/>
        <w:jc w:val="left"/>
      </w:pPr>
      <w:r>
        <w:rPr/>
        <w:t xml:space="preserve">(6) If the selected firm for a contract for a covered project cannot meet the requirements of subsections (1) and (4) of this section on the grounds of hardship, then the selected firm must report on any specific steps taken to obtain the data and demonstrate at least one of the following:</w:t>
      </w:r>
    </w:p>
    <w:p>
      <w:pPr>
        <w:spacing w:before="0" w:after="0" w:line="408" w:lineRule="exact"/>
        <w:ind w:left="0" w:right="0" w:firstLine="576"/>
        <w:jc w:val="left"/>
      </w:pPr>
      <w:r>
        <w:rPr/>
        <w:t xml:space="preserve">(a) The requirements would be a hardship relative to the size of the firm or the product supplier based on a specific estimate of costs to collect and transfer the information; or</w:t>
      </w:r>
    </w:p>
    <w:p>
      <w:pPr>
        <w:spacing w:before="0" w:after="0" w:line="408" w:lineRule="exact"/>
        <w:ind w:left="0" w:right="0" w:firstLine="576"/>
        <w:jc w:val="left"/>
      </w:pPr>
      <w:r>
        <w:rPr/>
        <w:t xml:space="preserve">(b) The requirements would disrupt the selected firm's ability to perform its contractual obligations.</w:t>
      </w:r>
    </w:p>
    <w:p>
      <w:pPr>
        <w:spacing w:before="0" w:after="0" w:line="408" w:lineRule="exact"/>
        <w:ind w:left="0" w:right="0" w:firstLine="576"/>
        <w:jc w:val="left"/>
      </w:pPr>
      <w:r>
        <w:rPr/>
        <w:t xml:space="preserve">(7) The selected firm for a contract for a covered project shall provide all data required in subsection (1) of this section that can be obtained.</w:t>
      </w:r>
    </w:p>
    <w:p>
      <w:pPr>
        <w:spacing w:before="0" w:after="0" w:line="408" w:lineRule="exact"/>
        <w:ind w:left="0" w:right="0" w:firstLine="576"/>
        <w:jc w:val="left"/>
      </w:pPr>
      <w:r>
        <w:rPr/>
        <w:t xml:space="preserve">(8) Each awarding authority must annually transmit to the department a copy of all information that the awarding authority receives pursuant to subsections (5) and (6) of this section.</w:t>
      </w:r>
    </w:p>
    <w:p>
      <w:pPr>
        <w:spacing w:before="0" w:after="0" w:line="408" w:lineRule="exact"/>
        <w:ind w:left="0" w:right="0" w:firstLine="576"/>
        <w:jc w:val="left"/>
      </w:pPr>
      <w:r>
        <w:rPr/>
        <w:t xml:space="preserve">(9) All environmental product declarations must follow nationally or internationally recognized rules for producing environmental product declarations for the subject material, follow standards established for life-cycle analysis material reporting of global warming potentials, and conform to the international organization for standardization standard 14025, 14040, 14044, and 21930.</w:t>
      </w:r>
    </w:p>
    <w:p>
      <w:pPr>
        <w:spacing w:before="0" w:after="0" w:line="408" w:lineRule="exact"/>
        <w:ind w:left="0" w:right="0" w:firstLine="576"/>
        <w:jc w:val="left"/>
      </w:pPr>
      <w:r>
        <w:rPr/>
        <w:t xml:space="preserve">(10) Beginning January 1, 2026, environmental product declarations must report actual data quality assessments including variability in facility, product, and upstream data for key processes.</w:t>
      </w:r>
    </w:p>
    <w:p>
      <w:pPr>
        <w:spacing w:before="0" w:after="0" w:line="408" w:lineRule="exact"/>
        <w:ind w:left="0" w:right="0" w:firstLine="576"/>
        <w:jc w:val="left"/>
      </w:pPr>
      <w:r>
        <w:rPr/>
        <w:t xml:space="preserve">(11) The department may contract for the use of nationally or internationally recognized databases of environmental product declarations for purposes of implementing this section.</w:t>
      </w:r>
    </w:p>
    <w:p>
      <w:pPr>
        <w:spacing w:before="0" w:after="0" w:line="408" w:lineRule="exact"/>
        <w:ind w:left="0" w:right="0" w:firstLine="576"/>
        <w:jc w:val="left"/>
      </w:pPr>
      <w:r>
        <w:rPr/>
        <w:t xml:space="preserve">(12) An awarding authority may amend their fee schedule to accommodate this chapter.</w:t>
      </w:r>
    </w:p>
    <w:p>
      <w:pPr>
        <w:spacing w:before="0" w:after="0" w:line="408" w:lineRule="exact"/>
        <w:ind w:left="0" w:right="0" w:firstLine="576"/>
        <w:jc w:val="left"/>
      </w:pPr>
      <w:r>
        <w:rPr/>
        <w:t xml:space="preserve">(13) Subject to funds made available for this purpose, the department may provide financial assistance to small businesses, as defined in RCW 19.85.020, equal to no less than half of the cost to the small business of producing an environmental product declaration required under this section.</w:t>
      </w:r>
    </w:p>
    <w:p>
      <w:pPr>
        <w:spacing w:before="0" w:after="0" w:line="408" w:lineRule="exact"/>
        <w:ind w:left="0" w:right="0" w:firstLine="576"/>
        <w:jc w:val="left"/>
      </w:pPr>
      <w:r>
        <w:rPr/>
        <w:t xml:space="preserve">(14) Compliance with the requirements in subsections (1) through (12) of this section may not be used as a basis for a waiver from apprenticeship utilization requirements in any other statute, regulation, or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2017 3rd sp.s. c 25 s 2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five million dollars</w:t>
      </w:r>
      <w:r>
        <w:t>))</w:t>
      </w:r>
      <w:r>
        <w:rPr/>
        <w:t xml:space="preserve"> </w:t>
      </w:r>
      <w:r>
        <w:rPr>
          <w:u w:val="single"/>
        </w:rPr>
        <w:t xml:space="preserve">$5,000,000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(5)</w:t>
      </w:r>
      <w:r>
        <w:t>))</w:t>
      </w:r>
      <w:r>
        <w:rPr/>
        <w:t xml:space="preserve"> </w:t>
      </w:r>
      <w:r>
        <w:rPr>
          <w:u w:val="single"/>
        </w:rPr>
        <w:t xml:space="preserve">(6)</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 capital budget instructions, beginning with the instructions for the 2021-2023 supplemental budget, information informing awarding authorities, as defined in section 2 of this act, of the requirements of this act, including the data and information requirements in section 3 (1), (5), and (6) of this act for selected firms for covered projects and the instruction for awarding authorities in section 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conformance with RCW 43.01.036, the department shall submit to the legislature a report summarizing the data submitted in pursuit of this chapter, including product quantities and purchase amounts, global warming potential, labor conditions, health certifications, and any obstacles to the implementation of this chapter.</w:t>
      </w:r>
    </w:p>
    <w:p>
      <w:pPr>
        <w:spacing w:before="0" w:after="0" w:line="408" w:lineRule="exact"/>
        <w:ind w:left="0" w:right="0" w:firstLine="576"/>
        <w:jc w:val="left"/>
      </w:pPr>
      <w:r>
        <w:rPr/>
        <w:t xml:space="preserve">(2)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05800762f8647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02f383d764a41" /><Relationship Type="http://schemas.openxmlformats.org/officeDocument/2006/relationships/footer" Target="/word/footer1.xml" Id="R705800762f8647c3" /></Relationships>
</file>