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204c2f45f487b" /></Relationships>
</file>

<file path=word/document.xml><?xml version="1.0" encoding="utf-8"?>
<w:document xmlns:w="http://schemas.openxmlformats.org/wordprocessingml/2006/main">
  <w:body>
    <w:p>
      <w:r>
        <w:t>H-0278.1</w:t>
      </w:r>
    </w:p>
    <w:p>
      <w:pPr>
        <w:jc w:val="center"/>
      </w:pPr>
      <w:r>
        <w:t>_______________________________________________</w:t>
      </w:r>
    </w:p>
    <w:p/>
    <w:p>
      <w:pPr>
        <w:jc w:val="center"/>
      </w:pPr>
      <w:r>
        <w:rPr>
          <w:b/>
        </w:rPr>
        <w:t>HOUSE BILL 1109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Mosbrucker, Simmons, Goodman, Leavitt, Valdez, Kloba, Graham, Morgan, Caldier, Rule, and Macri</w:t>
      </w:r>
    </w:p>
    <w:p/>
    <w:p>
      <w:r>
        <w:rPr>
          <w:t xml:space="preserve">Prefiled 01/07/21.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43.101.278 and 70.125.110; and adding a new section to chapter 5.70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applicable law enforcement agency and prosecuting attorney shall, upon request of the office of the attorney general, report changes in case status as to any related criminal investigation and prosecution to the office of the attorney general in accordance with policies and procedures established under subsection (2) of this section.</w:t>
      </w:r>
    </w:p>
    <w:p>
      <w:pPr>
        <w:spacing w:before="0" w:after="0" w:line="408" w:lineRule="exact"/>
        <w:ind w:left="0" w:right="0" w:firstLine="576"/>
        <w:jc w:val="left"/>
      </w:pPr>
      <w:r>
        <w:rPr/>
        <w:t xml:space="preserve">(2) The office of the attorney general shall establish policies and procedures for the reporting requirement under this section. The office of the attorney general may consult with the sexual assault forensic examination best practices advisory group in determining the types of information required for status updates under this section. The office of the attorney general shall submit semiannual reports on the status of investigations and prosecutions for sexual assault cases under this section to the sexual assault forensic examination best practices advisory group, the appropriate committees of the legislature, and the governor. The initial reports must be submitted by December 1, 2021, and by July 31, 2022, and subsequent reports must be submitted by January 31st and July 31st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provide the commission with any requested case files and other documents necessary to conduct case reviews, provided that the case is not linked to an ongoing, open investigation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provided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benefits under the crime victim compensation program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and, in the case of a survivor who is a minor, a referral to a children's advocacy center, when presenting at a medical facility and when reporting an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any medical evidentiary examination </w:t>
      </w:r>
      <w:r>
        <w:t>((</w:t>
      </w:r>
      <w:r>
        <w:rPr>
          <w:strike/>
        </w:rPr>
        <w:t xml:space="preserve">and during</w:t>
      </w:r>
      <w:r>
        <w:t>))</w:t>
      </w:r>
      <w:r>
        <w:rPr>
          <w:u w:val="single"/>
        </w:rPr>
        <w:t xml:space="preserve">,</w:t>
      </w:r>
      <w:r>
        <w:rPr/>
        <w:t xml:space="preserve"> any interview by law enforcement officers, prosecuting attorneys, or defense attorneys, </w:t>
      </w:r>
      <w:r>
        <w:t>((</w:t>
      </w:r>
      <w:r>
        <w:rPr>
          <w:strike/>
        </w:rPr>
        <w:t xml:space="preserve">unless an advocate cannot be summoned in a timely manner,</w:t>
      </w:r>
      <w:r>
        <w:t>))</w:t>
      </w:r>
      <w:r>
        <w:rPr/>
        <w:t xml:space="preserve"> and </w:t>
      </w:r>
      <w:r>
        <w:rPr>
          <w:u w:val="single"/>
        </w:rPr>
        <w:t xml:space="preserve">court proceedings,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
      <w:pPr>
        <w:jc w:val="center"/>
      </w:pPr>
      <w:r>
        <w:rPr>
          <w:b/>
        </w:rPr>
        <w:t>--- END ---</w:t>
      </w:r>
    </w:p>
    <w:sectPr>
      <w:pgNumType w:start="1"/>
      <w:footerReference xmlns:r="http://schemas.openxmlformats.org/officeDocument/2006/relationships" r:id="R840149e3e437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6c6873cb1489e" /><Relationship Type="http://schemas.openxmlformats.org/officeDocument/2006/relationships/footer" Target="/word/footer1.xml" Id="R840149e3e43743a1" /></Relationships>
</file>