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5784fefc04299" /></Relationships>
</file>

<file path=word/document.xml><?xml version="1.0" encoding="utf-8"?>
<w:document xmlns:w="http://schemas.openxmlformats.org/wordprocessingml/2006/main">
  <w:body>
    <w:p>
      <w:r>
        <w:t>H-0606.1</w:t>
      </w:r>
    </w:p>
    <w:p>
      <w:pPr>
        <w:jc w:val="center"/>
      </w:pPr>
      <w:r>
        <w:t>_______________________________________________</w:t>
      </w:r>
    </w:p>
    <w:p/>
    <w:p>
      <w:pPr>
        <w:jc w:val="center"/>
      </w:pPr>
      <w:r>
        <w:rPr>
          <w:b/>
        </w:rPr>
        <w:t>SUBSTITUTE HOUSE BILL 1120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Harris, Cody, Riccelli, Stonier, and Macri; by request of Department of Social and Health Services)</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of emergency operations impacting long-term services and supports; amending RCW 43.43.832, 43.43.837, 74.39A.056, 18.51.091, 18.51.230, 74.42.360, 74.39A.074, 74.39A.076, 74.39A.341, 18.88B.021, 70.128.230, 18.20.270, 70.128.070, 70.97.160, 18.20.110, 18.88A.030, and 18.88A.087;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 Rules adopted under this subsection are effective only during the pandemic, natural disaster, or other declared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 Rules adopted under this subsection are effective only during the pandemic, natural disaster, or other declared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 Rules adopted under this subsection are effective only during the pandemic, natural disaster, or other declared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 Rules adopted under this subsection are effective only during the pandemic, natural disaster, or other declared state of emergency.</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 Rules adopted under this subsection are effective only during the pandemic, natural disaster, or other declared state of emergency.</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 Rules adopted under this subsection are effective only during the pandemic, natural disaster, or other declared state of emergency.</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two hundred 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 Rules adopted under this subsection are effective only during the pandemic, natural disaster, or other declared state of emergency.</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u w:val="single"/>
        </w:rPr>
        <w:t xml:space="preserve">(c) If a pandemic, natural disaster, or other declared state of emergency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 Rules adopted under this subsection are effective only during the pandemic, natural disaster, or other declared state of emergency.</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u w:val="single"/>
        </w:rPr>
        <w:t xml:space="preserve">(d) If a pandemic, natural disaster, or other declared state of emergency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 Rules adopted under this subsection are effective only during the pandemic, natural disaster, or other declared state of emergency.</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 Rules adopted under this subsection are effective only during the pandemic, natural disaster, or other declared state of emergency.</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 pandemic, natural disaster, or other declared state of emergency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 Rules adopted under this subsection are effective only during the pandemic, natural disaster, or other declared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 Rules adopted under this subsection are effective only during the pandemic, natural disaster, or other declared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apply retroactively to February 29, 2020, to include the period of the state of emergency created by the COVID-19 outbreak. In any instance where this act grants rule-making authority to the department of social and health services or the department of health, the agencies may adopt the rules as emergency rules and may make the rules retroactively effective.</w:t>
      </w:r>
    </w:p>
    <w:p/>
    <w:p>
      <w:pPr>
        <w:jc w:val="center"/>
      </w:pPr>
      <w:r>
        <w:rPr>
          <w:b/>
        </w:rPr>
        <w:t>--- END ---</w:t>
      </w:r>
    </w:p>
    <w:sectPr>
      <w:pgNumType w:start="1"/>
      <w:footerReference xmlns:r="http://schemas.openxmlformats.org/officeDocument/2006/relationships" r:id="R1b14f54fd96a4c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be86103814778" /><Relationship Type="http://schemas.openxmlformats.org/officeDocument/2006/relationships/footer" Target="/word/footer1.xml" Id="R1b14f54fd96a4cc4" /></Relationships>
</file>