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ee8b757834f2c" /></Relationships>
</file>

<file path=word/document.xml><?xml version="1.0" encoding="utf-8"?>
<w:document xmlns:w="http://schemas.openxmlformats.org/wordprocessingml/2006/main">
  <w:body>
    <w:p>
      <w:r>
        <w:t>H-0143.3</w:t>
      </w:r>
    </w:p>
    <w:p>
      <w:pPr>
        <w:jc w:val="center"/>
      </w:pPr>
      <w:r>
        <w:t>_______________________________________________</w:t>
      </w:r>
    </w:p>
    <w:p/>
    <w:p>
      <w:pPr>
        <w:jc w:val="center"/>
      </w:pPr>
      <w:r>
        <w:rPr>
          <w:b/>
        </w:rPr>
        <w:t>HOUSE BILL 1127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Slatter, Boehnke, Valdez, Kloba, Graham, Macri, and Pollet</w:t>
      </w:r>
    </w:p>
    <w:p/>
    <w:p>
      <w:r>
        <w:rPr>
          <w:t xml:space="preserve">Prefiled 01/08/21.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COVID-19 health data collected by entities other than public health agencies, health care providers, and health care facilities; amending RCW 42.56.360; adding a new chapter to Title 70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A person or entity acting as a "covered entity" or "business associate," as those terms are defined in Title 45 C.F.R., established pursuant to the federal health insurance portability and accountability act of 1996;</w:t>
      </w:r>
    </w:p>
    <w:p>
      <w:pPr>
        <w:spacing w:before="0" w:after="0" w:line="408" w:lineRule="exact"/>
        <w:ind w:left="0" w:right="0" w:firstLine="576"/>
        <w:jc w:val="left"/>
      </w:pPr>
      <w:r>
        <w:rPr/>
        <w:t xml:space="preserve">(v) A service provider;</w:t>
      </w:r>
    </w:p>
    <w:p>
      <w:pPr>
        <w:spacing w:before="0" w:after="0" w:line="408" w:lineRule="exact"/>
        <w:ind w:left="0" w:right="0" w:firstLine="576"/>
        <w:jc w:val="left"/>
      </w:pPr>
      <w:r>
        <w:rPr/>
        <w:t xml:space="preserve">(vi) A person acting in their individual or household capacity; or</w:t>
      </w:r>
    </w:p>
    <w:p>
      <w:pPr>
        <w:spacing w:before="0" w:after="0" w:line="408" w:lineRule="exact"/>
        <w:ind w:left="0" w:right="0" w:firstLine="576"/>
        <w:jc w:val="left"/>
      </w:pPr>
      <w:r>
        <w:rPr/>
        <w:t xml:space="preserve">(vii)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or reasonably linkable to an individual or device, including data inferred or derived about the individual or device from other collected data where such data is still linked or reasonably linkable to the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 identifiable personal data collected and used solely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4(5)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or state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 A law enforcement officer or a federal immigration authority may not collect or use COVID-19 health data when acting in their official, rather than individual or household, capacity.</w:t>
      </w:r>
    </w:p>
    <w:p>
      <w:pPr>
        <w:spacing w:before="0" w:after="0" w:line="408" w:lineRule="exact"/>
        <w:ind w:left="0" w:right="0" w:firstLine="576"/>
        <w:jc w:val="left"/>
      </w:pPr>
      <w:r>
        <w:rPr/>
        <w:t xml:space="preserve">(4) An individual's COVID-19 health data must not be subject to or provided in response to any legal process or be admissible for any purpose in any judicial or administrative action or proceeding without the individual's consent.</w:t>
      </w:r>
    </w:p>
    <w:p>
      <w:pPr>
        <w:spacing w:before="0" w:after="0" w:line="408" w:lineRule="exact"/>
        <w:ind w:left="0" w:right="0" w:firstLine="576"/>
        <w:jc w:val="left"/>
      </w:pPr>
      <w:r>
        <w:rPr/>
        <w:t xml:space="preserve">(5) No later than 30 days after collection, </w:t>
      </w:r>
      <w:r>
        <w:rPr/>
        <w:t xml:space="preserve">COVID-19 health data must be destroyed or rendered unlinkable in such a manner that it is impossible or demonstrably impracticable to identify any individual from the COVID-19 health data.</w:t>
      </w:r>
    </w:p>
    <w:p>
      <w:pPr>
        <w:spacing w:before="0" w:after="0" w:line="408" w:lineRule="exact"/>
        <w:ind w:left="0" w:right="0" w:firstLine="576"/>
        <w:jc w:val="left"/>
      </w:pPr>
      <w:r>
        <w:rPr/>
        <w:t xml:space="preserve">(6) A covered organization may not disclose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cc804ba8494f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84e32481a4465" /><Relationship Type="http://schemas.openxmlformats.org/officeDocument/2006/relationships/footer" Target="/word/footer1.xml" Id="Rf3cc804ba8494f4d" /></Relationships>
</file>