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499fdd7cf4fa4" /></Relationships>
</file>

<file path=word/document.xml><?xml version="1.0" encoding="utf-8"?>
<w:document xmlns:w="http://schemas.openxmlformats.org/wordprocessingml/2006/main">
  <w:body>
    <w:p>
      <w:r>
        <w:t>H-1252.1</w:t>
      </w:r>
    </w:p>
    <w:p>
      <w:pPr>
        <w:jc w:val="center"/>
      </w:pPr>
      <w:r>
        <w:t>_______________________________________________</w:t>
      </w:r>
    </w:p>
    <w:p/>
    <w:p>
      <w:pPr>
        <w:jc w:val="center"/>
      </w:pPr>
      <w:r>
        <w:rPr>
          <w:b/>
        </w:rPr>
        <w:t>SECOND SUBSTITUTE HOUSE BILL 1157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Bateman, Gilday, Taylor, Eslick, Robertson, Simmons, Ormsby, Lekanoff, Hackney, Ryu, Walen, Vick, Wicks, Berg, Fitzgibbon, Barkis, Harris-Talley, and Dolan)</w:t>
      </w:r>
    </w:p>
    <w:p/>
    <w:p>
      <w:r>
        <w:rPr>
          <w:t xml:space="preserve">READ FIRST TIME 03/23/21.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supply through the growth management act and housing density tax incentives for local governments; amending RCW 82.45.060 and 82.45.230;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within counties planning under RCW 36.70A.215 and those counties may establish one or more real estate excise tax density incentive zones. A real estate excise tax density incentive zone is an area within an urban growth area where the city or county adopts zoning and development regulations to increase housing supply by allowing construction of additional housing types as outright permitted uses. Creation of a real estate excise tax density incentive zone enables the local government to receive a portion of the tax imposed under chapter 82.45 RCW for sales of qualified residential dwelling units within the zone.</w:t>
      </w:r>
    </w:p>
    <w:p>
      <w:pPr>
        <w:spacing w:before="0" w:after="0" w:line="408" w:lineRule="exact"/>
        <w:ind w:left="0" w:right="0" w:firstLine="576"/>
        <w:jc w:val="left"/>
      </w:pPr>
      <w:r>
        <w:rPr/>
        <w:t xml:space="preserve">(2) A real estate excise tax density incentive zone may only be located within a designated urban growth area, and must allow the following housing types: Single-family detached dwellings at a net density of at least six dwelling units per acre, duplexes, triplexes, fourplexes, townhomes, accessory dwelling units, and courtyard apartments.</w:t>
      </w:r>
    </w:p>
    <w:p>
      <w:pPr>
        <w:spacing w:before="0" w:after="0" w:line="408" w:lineRule="exact"/>
        <w:ind w:left="0" w:right="0" w:firstLine="576"/>
        <w:jc w:val="left"/>
      </w:pPr>
      <w:r>
        <w:rPr/>
        <w:t xml:space="preserve">(3) A real estate excise tax density incentive zone may also allow as outright permitted uses housing types and densities that exceed the minimum requirements in subsection (2) of this section.</w:t>
      </w:r>
    </w:p>
    <w:p>
      <w:pPr>
        <w:spacing w:before="0" w:after="0" w:line="408" w:lineRule="exact"/>
        <w:ind w:left="0" w:right="0" w:firstLine="576"/>
        <w:jc w:val="left"/>
      </w:pPr>
      <w:r>
        <w:rPr/>
        <w:t xml:space="preserve">(4)(a) Additional dwelling units must be in addition to the baseline density under existing zoning to implement the housing element in RCW 36.70A.070.</w:t>
      </w:r>
    </w:p>
    <w:p>
      <w:pPr>
        <w:spacing w:before="0" w:after="0" w:line="408" w:lineRule="exact"/>
        <w:ind w:left="0" w:right="0" w:firstLine="576"/>
        <w:jc w:val="left"/>
      </w:pPr>
      <w:r>
        <w:rPr/>
        <w:t xml:space="preserve">(b) For the purposes of this section, a "qualified residential dwelling" is either an individual residential dwelling unit or a residential building of two or more dwelling units constructed within a real estate excise tax density incentive zone that achieves a net increase in the total number of residential dwelling units compared to the maximum number of residential dwelling units that could have been built prior to the adoption of zoning and development regulations creating the real estate excise tax density incentive zone. To be included as qualified residential dwelling units, the units must be restricted from being offered as short-term rentals for more than 30 days a year for the first 15 years after construction. The county or city shall determine within their respective jurisdictions how the residential dwelling units shall be restricted from being short-term rentals.</w:t>
      </w:r>
    </w:p>
    <w:p>
      <w:pPr>
        <w:spacing w:before="0" w:after="0" w:line="408" w:lineRule="exact"/>
        <w:ind w:left="0" w:right="0" w:firstLine="576"/>
        <w:jc w:val="left"/>
      </w:pPr>
      <w:r>
        <w:rPr/>
        <w:t xml:space="preserve">(c) If the qualified residential dwelling has two or more dwelling units, the amount distributed to the local government under RCW 82.45.060(4)(c) shall be reduced by the percent attributable to the number of new dwelling units within the building that could have been built under the zoning and development regulations that existed prior to the creation of the local real estate excise tax density incentive zone.</w:t>
      </w:r>
    </w:p>
    <w:p>
      <w:pPr>
        <w:spacing w:before="0" w:after="0" w:line="408" w:lineRule="exact"/>
        <w:ind w:left="0" w:right="0" w:firstLine="576"/>
        <w:jc w:val="left"/>
      </w:pPr>
      <w:r>
        <w:rPr/>
        <w:t xml:space="preserve">(5) A sale that does not involve a net increase above the maximum number of residential dwelling units that could have been constructed as an outright permitted use, prior to the creation of the real estate excise tax density incentive zone, is not a sale of a qualified residential dwelling unit.</w:t>
      </w:r>
    </w:p>
    <w:p>
      <w:pPr>
        <w:spacing w:before="0" w:after="0" w:line="408" w:lineRule="exact"/>
        <w:ind w:left="0" w:right="0" w:firstLine="576"/>
        <w:jc w:val="left"/>
      </w:pPr>
      <w:r>
        <w:rPr/>
        <w:t xml:space="preserve">(6) A real estate excise tax density incentive zone may be established for areas where a city or county previously enacted zoning and development regulations meeting the minimum requirements in this section, but not prior to January 1, 2017. A real estate excise tax density incentive zone may not be established later than one year after the date by which a city or county is required to update its growth management comprehensive plan under RCW 36.70A.130. Once a real estate excise tax density incentive zone is established in compliance with this section, a qualified residential dwelling unit may be constructed at any time.</w:t>
      </w:r>
    </w:p>
    <w:p>
      <w:pPr>
        <w:spacing w:before="0" w:after="0" w:line="408" w:lineRule="exact"/>
        <w:ind w:left="0" w:right="0" w:firstLine="576"/>
        <w:jc w:val="left"/>
      </w:pPr>
      <w:r>
        <w:rPr/>
        <w:t xml:space="preserve">(7)(a) Prior to establishing a real estate excise tax density incentive zone, the city or county must:</w:t>
      </w:r>
    </w:p>
    <w:p>
      <w:pPr>
        <w:spacing w:before="0" w:after="0" w:line="408" w:lineRule="exact"/>
        <w:ind w:left="0" w:right="0" w:firstLine="576"/>
        <w:jc w:val="left"/>
      </w:pPr>
      <w:r>
        <w:rPr/>
        <w:t xml:space="preserve">(i) Consider the race and income of existing residents within the area and the adjacent neighborhoods to be designated;</w:t>
      </w:r>
    </w:p>
    <w:p>
      <w:pPr>
        <w:spacing w:before="0" w:after="0" w:line="408" w:lineRule="exact"/>
        <w:ind w:left="0" w:right="0" w:firstLine="576"/>
        <w:jc w:val="left"/>
      </w:pPr>
      <w:r>
        <w:rPr/>
        <w:t xml:space="preserve">(ii) Consider displacement impacts of low, very low, and extremely low-income residents within the area and the adjacent neighborhoods to be designated; and</w:t>
      </w:r>
    </w:p>
    <w:p>
      <w:pPr>
        <w:spacing w:before="0" w:after="0" w:line="408" w:lineRule="exact"/>
        <w:ind w:left="0" w:right="0" w:firstLine="576"/>
        <w:jc w:val="left"/>
      </w:pPr>
      <w:r>
        <w:rPr/>
        <w:t xml:space="preserve">(iii) Assess the need for antidisplacement policies for high-risk communities within designated areas and the adjacent neighborhoods, and make the assessment publicly available.</w:t>
      </w:r>
    </w:p>
    <w:p>
      <w:pPr>
        <w:spacing w:before="0" w:after="0" w:line="408" w:lineRule="exact"/>
        <w:ind w:left="0" w:right="0" w:firstLine="576"/>
        <w:jc w:val="left"/>
      </w:pPr>
      <w:r>
        <w:rPr/>
        <w:t xml:space="preserve">(b) A local jurisdiction may use the requirements of RCW 36.70A.070(2) (e) through (h) (section 2(2) (e) through (h), chapter . . . (Engrossed Second Substitute House Bill No. 1220), Laws of 2021) to satisfy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five hundred thousand dollars;</w:t>
      </w:r>
    </w:p>
    <w:p>
      <w:pPr>
        <w:spacing w:before="0" w:after="0" w:line="408" w:lineRule="exact"/>
        <w:ind w:left="0" w:right="0" w:firstLine="576"/>
        <w:jc w:val="left"/>
      </w:pPr>
      <w:r>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t xml:space="preserve">(iv) Three percent of the portion of the selling price that is greater than three million dollars.</w:t>
      </w:r>
    </w:p>
    <w:p>
      <w:pPr>
        <w:spacing w:before="0" w:after="0" w:line="408" w:lineRule="exact"/>
        <w:ind w:left="0" w:right="0" w:firstLine="576"/>
        <w:jc w:val="left"/>
      </w:pPr>
      <w:r>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four and one</w:t>
      </w:r>
      <w:r>
        <w:rPr/>
        <w:noBreakHyphen/>
      </w:r>
      <w:r>
        <w:rPr/>
        <w:t xml:space="preserve">tenth percent must be deposited in the education legacy trust account created in RCW 83.100.230, an amount equal to one and six-tenths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w:t>
      </w:r>
      <w:r>
        <w:rPr>
          <w:u w:val="single"/>
        </w:rPr>
        <w:t xml:space="preserve">except as provided under (c) of this subsection (4),</w:t>
      </w:r>
      <w:r>
        <w:rPr/>
        <w:t xml:space="preserve"> amounts collected from the tax imposed under this section must be deposited as provided in RCW 82.45.230</w:t>
      </w:r>
      <w:r>
        <w:rPr>
          <w:u w:val="single"/>
        </w:rPr>
        <w:t xml:space="preserve">.</w:t>
      </w:r>
    </w:p>
    <w:p>
      <w:pPr>
        <w:spacing w:before="0" w:after="0" w:line="408" w:lineRule="exact"/>
        <w:ind w:left="0" w:right="0" w:firstLine="576"/>
        <w:jc w:val="left"/>
      </w:pPr>
      <w:r>
        <w:rPr>
          <w:u w:val="single"/>
        </w:rPr>
        <w:t xml:space="preserve">(c) Beginning July 1, 2023, the amounts collected on the sale of a qualified residential dwelling constructed within a real estate excise tax density incentive zone created under section 1 of this act shall be distributed to a city or county as follows:</w:t>
      </w:r>
    </w:p>
    <w:p>
      <w:pPr>
        <w:spacing w:before="0" w:after="0" w:line="408" w:lineRule="exact"/>
        <w:ind w:left="0" w:right="0" w:firstLine="576"/>
        <w:jc w:val="left"/>
      </w:pPr>
      <w:r>
        <w:rPr>
          <w:u w:val="single"/>
        </w:rPr>
        <w:t xml:space="preserve">(i) For a qualified residential dwelling unit located less than or equal to .25 miles, as measured by direct distance, from a mass transit stop as defined in RCW 43.21C.420(3), 50 percent of the amounts collected to the city or county where the dwelling is located;</w:t>
      </w:r>
    </w:p>
    <w:p>
      <w:pPr>
        <w:spacing w:before="0" w:after="0" w:line="408" w:lineRule="exact"/>
        <w:ind w:left="0" w:right="0" w:firstLine="576"/>
        <w:jc w:val="left"/>
      </w:pPr>
      <w:r>
        <w:rPr>
          <w:u w:val="single"/>
        </w:rPr>
        <w:t xml:space="preserve">(ii) For a qualified residential dwelling unit located more than .25 miles, as measured by direct distance, from a mass transit stop as defined in RCW 43.21C.420(3), 25 percent of the amounts collected to the city or county where the dwelling is located;</w:t>
      </w:r>
    </w:p>
    <w:p>
      <w:pPr>
        <w:spacing w:before="0" w:after="0" w:line="408" w:lineRule="exact"/>
        <w:ind w:left="0" w:right="0" w:firstLine="576"/>
        <w:jc w:val="left"/>
      </w:pPr>
      <w:r>
        <w:rPr>
          <w:u w:val="single"/>
        </w:rPr>
        <w:t xml:space="preserve">(iii) If any portion of the qualified residential dwelling unit is located less than or equal to .25 miles, as measured by direct distance, from a mass transit stop as defined in RCW 43.21C.420(3), the entire building qualifies for distribution pursuant to (c)(i) of this subsection (4).</w:t>
      </w:r>
    </w:p>
    <w:p>
      <w:pPr>
        <w:spacing w:before="0" w:after="0" w:line="408" w:lineRule="exact"/>
        <w:ind w:left="0" w:right="0" w:firstLine="576"/>
        <w:jc w:val="left"/>
      </w:pPr>
      <w:r>
        <w:rPr>
          <w:u w:val="single"/>
        </w:rPr>
        <w:t xml:space="preserve">(d) The distribution to a city or county under (c) of this subsection (4) applies to both the initial and all subsequent sales of a qualified residential dwelling unit if the residential dwelling unit continues to meet the original requirements of a qualified residential dwelling unit. Counties are required to revalidate that the residential dwelling unit continues to meet the original applicable requirements on each subsequent sale of the residential dwelling unit. The amounts distributed to a city and county may be used solely for:</w:t>
      </w:r>
    </w:p>
    <w:p>
      <w:pPr>
        <w:spacing w:before="0" w:after="0" w:line="408" w:lineRule="exact"/>
        <w:ind w:left="0" w:right="0" w:firstLine="576"/>
        <w:jc w:val="left"/>
      </w:pPr>
      <w:r>
        <w:rPr>
          <w:u w:val="single"/>
        </w:rPr>
        <w:t xml:space="preserve">(i) Implementation of the housing element in RCW 36.70A.070 as required by chapter . . . (Engrossed Second Substitute House Bill No. 1220), Laws of 2021;</w:t>
      </w:r>
    </w:p>
    <w:p>
      <w:pPr>
        <w:spacing w:before="0" w:after="0" w:line="408" w:lineRule="exact"/>
        <w:ind w:left="0" w:right="0" w:firstLine="576"/>
        <w:jc w:val="left"/>
      </w:pPr>
      <w:r>
        <w:rPr>
          <w:u w:val="single"/>
        </w:rPr>
        <w:t xml:space="preserve">(ii) Costs for infrastructure, construction, and service support for moderate, low, very low, and extremely low-income housing;</w:t>
      </w:r>
    </w:p>
    <w:p>
      <w:pPr>
        <w:spacing w:before="0" w:after="0" w:line="408" w:lineRule="exact"/>
        <w:ind w:left="0" w:right="0" w:firstLine="576"/>
        <w:jc w:val="left"/>
      </w:pPr>
      <w:r>
        <w:rPr>
          <w:u w:val="single"/>
        </w:rPr>
        <w:t xml:space="preserve">(iii) Construction of capital facilities that promote livable and walkable neighborhoods, such as neighborhood-scale parks, trails, or other recreational amenities; or</w:t>
      </w:r>
    </w:p>
    <w:p>
      <w:pPr>
        <w:spacing w:before="0" w:after="0" w:line="408" w:lineRule="exact"/>
        <w:ind w:left="0" w:right="0" w:firstLine="576"/>
        <w:jc w:val="left"/>
      </w:pPr>
      <w:r>
        <w:rPr>
          <w:u w:val="single"/>
        </w:rPr>
        <w:t xml:space="preserve">(iv) Creation of permanently affordable homeownership, which means housing that is:</w:t>
      </w:r>
    </w:p>
    <w:p>
      <w:pPr>
        <w:spacing w:before="0" w:after="0" w:line="408" w:lineRule="exact"/>
        <w:ind w:left="0" w:right="0" w:firstLine="576"/>
        <w:jc w:val="left"/>
      </w:pPr>
      <w:r>
        <w:rPr>
          <w:u w:val="single"/>
        </w:rPr>
        <w:t xml:space="preserve">(A) Sponsored by a nonprofit organization or governmental entity; and</w:t>
      </w:r>
    </w:p>
    <w:p>
      <w:pPr>
        <w:spacing w:before="0" w:after="0" w:line="408" w:lineRule="exact"/>
        <w:ind w:left="0" w:right="0" w:firstLine="576"/>
        <w:jc w:val="left"/>
      </w:pPr>
      <w:r>
        <w:rPr>
          <w:u w:val="single"/>
        </w:rPr>
        <w:t xml:space="preserve">(B) Subject to a ground lease or deed restriction that includes:</w:t>
      </w:r>
    </w:p>
    <w:p>
      <w:pPr>
        <w:spacing w:before="0" w:after="0" w:line="408" w:lineRule="exact"/>
        <w:ind w:left="0" w:right="0" w:firstLine="576"/>
        <w:jc w:val="left"/>
      </w:pPr>
      <w:r>
        <w:rPr>
          <w:u w:val="single"/>
        </w:rPr>
        <w:t xml:space="preserve">(I) A resale restriction designed to provide affordability for future low and moderate-income home buyers;</w:t>
      </w:r>
    </w:p>
    <w:p>
      <w:pPr>
        <w:spacing w:before="0" w:after="0" w:line="408" w:lineRule="exact"/>
        <w:ind w:left="0" w:right="0" w:firstLine="576"/>
        <w:jc w:val="left"/>
      </w:pPr>
      <w:r>
        <w:rPr>
          <w:u w:val="single"/>
        </w:rPr>
        <w:t xml:space="preserve">(II) A right of first refusal for the sponsor organization to purchase the home at resale; and</w:t>
      </w:r>
    </w:p>
    <w:p>
      <w:pPr>
        <w:spacing w:before="0" w:after="0" w:line="408" w:lineRule="exact"/>
        <w:ind w:left="0" w:right="0" w:firstLine="576"/>
        <w:jc w:val="left"/>
      </w:pPr>
      <w:r>
        <w:rPr>
          <w:u w:val="single"/>
        </w:rPr>
        <w:t xml:space="preserve">(III) A requirement that the sponsor must approve any refinancing, including home equity lines of credit; or</w:t>
      </w:r>
    </w:p>
    <w:p>
      <w:pPr>
        <w:spacing w:before="0" w:after="0" w:line="408" w:lineRule="exact"/>
        <w:ind w:left="0" w:right="0" w:firstLine="576"/>
        <w:jc w:val="left"/>
      </w:pPr>
      <w:r>
        <w:rPr>
          <w:u w:val="single"/>
        </w:rPr>
        <w:t xml:space="preserve">(C) Sponsored by a nonprofit organization or governmental entity and the sponsor organization:</w:t>
      </w:r>
    </w:p>
    <w:p>
      <w:pPr>
        <w:spacing w:before="0" w:after="0" w:line="408" w:lineRule="exact"/>
        <w:ind w:left="0" w:right="0" w:firstLine="576"/>
        <w:jc w:val="left"/>
      </w:pPr>
      <w:r>
        <w:rPr>
          <w:u w:val="single"/>
        </w:rPr>
        <w:t xml:space="preserve">(I) Executes a new ground lease or deed restriction with a duration of at least 99 years at the initial sale and with each successive sale; and</w:t>
      </w:r>
    </w:p>
    <w:p>
      <w:pPr>
        <w:spacing w:before="0" w:after="0" w:line="408" w:lineRule="exact"/>
        <w:ind w:left="0" w:right="0" w:firstLine="576"/>
        <w:jc w:val="left"/>
      </w:pPr>
      <w:r>
        <w:rPr>
          <w:u w:val="single"/>
        </w:rPr>
        <w:t xml:space="preserve">(II) Supports homeowners and enforces the ground lease or deed restriction.</w:t>
      </w:r>
    </w:p>
    <w:p>
      <w:pPr>
        <w:spacing w:before="0" w:after="0" w:line="408" w:lineRule="exact"/>
        <w:ind w:left="0" w:right="0" w:firstLine="576"/>
        <w:jc w:val="left"/>
      </w:pPr>
      <w:r>
        <w:rPr>
          <w:u w:val="single"/>
        </w:rPr>
        <w:t xml:space="preserve">(5)(a) Counties are required to validate and identify sales of qualified residential dwelling units within real estate excise tax density incentive zones, including any reduction in real estate excise tax distribution based on:</w:t>
      </w:r>
    </w:p>
    <w:p>
      <w:pPr>
        <w:spacing w:before="0" w:after="0" w:line="408" w:lineRule="exact"/>
        <w:ind w:left="0" w:right="0" w:firstLine="576"/>
        <w:jc w:val="left"/>
      </w:pPr>
      <w:r>
        <w:rPr>
          <w:u w:val="single"/>
        </w:rPr>
        <w:t xml:space="preserve">(i) The number of new dwelling units within the building that could have been built under prior zoning regulations compared to the number of new dwelling units built under the real estate excise tax density incentive zone pursuant to section 1(4)(c) of this act; and</w:t>
      </w:r>
    </w:p>
    <w:p>
      <w:pPr>
        <w:spacing w:before="0" w:after="0" w:line="408" w:lineRule="exact"/>
        <w:ind w:left="0" w:right="0" w:firstLine="576"/>
        <w:jc w:val="left"/>
      </w:pPr>
      <w:r>
        <w:rPr>
          <w:u w:val="single"/>
        </w:rPr>
        <w:t xml:space="preserve">(ii) The distance from a mass transit stop pursuant to subsection (4)(c) of this section.</w:t>
      </w:r>
    </w:p>
    <w:p>
      <w:pPr>
        <w:spacing w:before="0" w:after="0" w:line="408" w:lineRule="exact"/>
        <w:ind w:left="0" w:right="0" w:firstLine="576"/>
        <w:jc w:val="left"/>
      </w:pPr>
      <w:r>
        <w:rPr>
          <w:u w:val="single"/>
        </w:rPr>
        <w:t xml:space="preserve">(b) A county must provide the information required in (a) of this subsection to the department when the real estate excise tax affidavit is submitted to the department by the county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230</w:t>
      </w:r>
      <w:r>
        <w:rPr/>
        <w:t xml:space="preserve"> and 2019 c 424 s 2 are each amended to read as follows:</w:t>
      </w:r>
    </w:p>
    <w:p>
      <w:pPr>
        <w:spacing w:before="0" w:after="0" w:line="408" w:lineRule="exact"/>
        <w:ind w:left="0" w:right="0" w:firstLine="576"/>
        <w:jc w:val="left"/>
      </w:pPr>
      <w:r>
        <w:rPr/>
        <w:t xml:space="preserve">(1) Beginning January 1, 2020, and ending June 30, 2023, the amounts received for the tax imposed on each sale of real property under RCW 82.45.060 must be deposited as follows:</w:t>
      </w:r>
    </w:p>
    <w:p>
      <w:pPr>
        <w:spacing w:before="0" w:after="0" w:line="408" w:lineRule="exact"/>
        <w:ind w:left="0" w:right="0" w:firstLine="576"/>
        <w:jc w:val="left"/>
      </w:pPr>
      <w:r>
        <w:rPr/>
        <w:t xml:space="preserve">(a) 1.7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educational legacy trust account created in RCW 83.100.230.</w:t>
      </w:r>
    </w:p>
    <w:p>
      <w:pPr>
        <w:spacing w:before="0" w:after="0" w:line="408" w:lineRule="exact"/>
        <w:ind w:left="0" w:right="0" w:firstLine="576"/>
        <w:jc w:val="left"/>
      </w:pPr>
      <w:r>
        <w:rPr/>
        <w:t xml:space="preserve">(2) Beginning July 1, 2023, and thereafter, the amounts received for the tax imposed on each sale of real property under RCW 82.45.060 must be deposited as follows:</w:t>
      </w:r>
    </w:p>
    <w:p>
      <w:pPr>
        <w:spacing w:before="0" w:after="0" w:line="408" w:lineRule="exact"/>
        <w:ind w:left="0" w:right="0" w:firstLine="576"/>
        <w:jc w:val="left"/>
      </w:pPr>
      <w:r>
        <w:rPr/>
        <w:t xml:space="preserve">(a) 5.2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w:t>
      </w:r>
      <w:r>
        <w:rPr>
          <w:u w:val="single"/>
        </w:rPr>
        <w:t xml:space="preserve">less the percentage of any amounts distributed to a city or county under RCW 82.45.060</w:t>
      </w:r>
      <w:r>
        <w:rPr/>
        <w:t xml:space="preserve"> must be deposited into the general fund; and</w:t>
      </w:r>
    </w:p>
    <w:p>
      <w:pPr>
        <w:spacing w:before="0" w:after="0" w:line="408" w:lineRule="exact"/>
        <w:ind w:left="0" w:right="0" w:firstLine="576"/>
        <w:jc w:val="left"/>
      </w:pPr>
      <w:r>
        <w:rPr/>
        <w:t xml:space="preserve">(d) The remainder must be deposited into the education legacy trust account created in RCW 83.100.230.</w:t>
      </w:r>
    </w:p>
    <w:p/>
    <w:p>
      <w:pPr>
        <w:jc w:val="center"/>
      </w:pPr>
      <w:r>
        <w:rPr>
          <w:b/>
        </w:rPr>
        <w:t>--- END ---</w:t>
      </w:r>
    </w:p>
    <w:sectPr>
      <w:pgNumType w:start="1"/>
      <w:footerReference xmlns:r="http://schemas.openxmlformats.org/officeDocument/2006/relationships" r:id="R7e95b51490a042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f878f2a95f44c1" /><Relationship Type="http://schemas.openxmlformats.org/officeDocument/2006/relationships/footer" Target="/word/footer1.xml" Id="R7e95b51490a042ec" /></Relationships>
</file>