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a011f3ea3a48e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Duerr, Boehnke, Bateman, Sullivan, Fitzgibbon, Walen, Ramel, Springer, Wicks, Slatter, Pollet, Callan,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84.55.120;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supportive of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specifically for the purpose of making required payments of principal and interest on general indebtedness;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A local government can create no more than three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(d) The ordinance must set a sunset date for the increment area, which may be no more than 25 years after the adoption of the ordinance designating the increment area;</w:t>
      </w:r>
    </w:p>
    <w:p>
      <w:pPr>
        <w:spacing w:before="0" w:after="0" w:line="408" w:lineRule="exact"/>
        <w:ind w:left="0" w:right="0" w:firstLine="576"/>
        <w:jc w:val="left"/>
      </w:pPr>
      <w:r>
        <w:rPr/>
        <w:t xml:space="preserve">(e) The ordinance must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(f) The ordinance must provide that the increment takes effect on June 1st following the adoption of the ordinance in (a) of this subsection; and</w:t>
      </w:r>
    </w:p>
    <w:p>
      <w:pPr>
        <w:spacing w:before="0" w:after="0" w:line="408" w:lineRule="exact"/>
        <w:ind w:left="0" w:right="0" w:firstLine="576"/>
        <w:jc w:val="left"/>
      </w:pPr>
      <w:r>
        <w:rPr/>
        <w:t xml:space="preserve">(g)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district, the local government must negotiate a mitigation plan with the fire district prior to implementing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section 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2(1)(d)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publication of notice as required by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269b32acc004d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a5fda4321841ae" /><Relationship Type="http://schemas.openxmlformats.org/officeDocument/2006/relationships/footer" Target="/word/footer1.xml" Id="R5269b32acc004da5" /></Relationships>
</file>