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f0224470f43bf" /></Relationships>
</file>

<file path=word/document.xml><?xml version="1.0" encoding="utf-8"?>
<w:document xmlns:w="http://schemas.openxmlformats.org/wordprocessingml/2006/main">
  <w:body>
    <w:p>
      <w:r>
        <w:t>H-0933.1</w:t>
      </w:r>
    </w:p>
    <w:p>
      <w:pPr>
        <w:jc w:val="center"/>
      </w:pPr>
      <w:r>
        <w:t>_______________________________________________</w:t>
      </w:r>
    </w:p>
    <w:p/>
    <w:p>
      <w:pPr>
        <w:jc w:val="center"/>
      </w:pPr>
      <w:r>
        <w:rPr>
          <w:b/>
        </w:rPr>
        <w:t>SUBSTITUTE HOUSE BILL 1208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Santos, Steele, Lekanoff, Paul, Callan, Ortiz-Self, Bergquist,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enable school districts to focus on identifying and addressing student academic deficits in basic skills resulting from or exacerbated by the COVID-19 pandemic by granting greater local control over, accountability for, and flexibility with program funds, and to authorize continued flexible use of program funds through the framework of the Washington integrated student supports protocol;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(2)(a) The legislature expects that the learning assistance program will continue to be used to fund supplemental instruction and service to eligible students who are not meeting academic standards.</w:t>
      </w:r>
    </w:p>
    <w:p>
      <w:pPr>
        <w:spacing w:before="0" w:after="0" w:line="408" w:lineRule="exact"/>
        <w:ind w:left="0" w:right="0" w:firstLine="576"/>
        <w:jc w:val="left"/>
      </w:pPr>
      <w:r>
        <w:rPr/>
        <w:t xml:space="preserve">(b) However, the legislature intends to immediately remove restrictions on the use of learning assistance program funds so that school districts can flexibly use these funds to identify and address the academic and nonacademic needs of students resulting from and exacerbated by the COVID-19 pandemic. Removal of the restrictions does not mean that learning assistance programs cannot continue to use the best practices and strategies included on the state menus or the services and activities listed in RCW 28A.165.035, as repealed by this act.</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the academic and nonacademic needs of students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w:t>
      </w:r>
      <w:r>
        <w:t>))</w:t>
      </w:r>
      <w:r>
        <w:rPr/>
        <w:t xml:space="preserve"> </w:t>
      </w:r>
      <w:r>
        <w:rPr>
          <w:u w:val="single"/>
        </w:rPr>
        <w:t xml:space="preserve">The</w:t>
      </w:r>
      <w:r>
        <w:rPr/>
        <w:t xml:space="preserv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community-based and other 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w:t>
      </w:r>
      <w:r>
        <w:rPr>
          <w:u w:val="single"/>
        </w:rPr>
        <w:t xml:space="preserve">academic,</w:t>
      </w:r>
      <w:r>
        <w:rPr/>
        <w:t xml:space="preserve"> nonacademic</w:t>
      </w:r>
      <w:r>
        <w:rPr>
          <w:u w:val="single"/>
        </w:rPr>
        <w:t xml:space="preserve">, and social-emotional</w:t>
      </w:r>
      <w:r>
        <w:rPr/>
        <w:t xml:space="preserve">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and</w:t>
      </w:r>
    </w:p>
    <w:p>
      <w:pPr>
        <w:spacing w:before="0" w:after="0" w:line="408" w:lineRule="exact"/>
        <w:ind w:left="0" w:right="0" w:firstLine="576"/>
        <w:jc w:val="left"/>
      </w:pPr>
      <w:r>
        <w:rPr/>
        <w:t xml:space="preserve">(d)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u w:val="single"/>
        </w:rPr>
        <w:t xml:space="preserve">Provisions in subsections (1) through (5) of this section are subject to the availability of amounts appropriated for these specific purposes.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subject to the availability of amounts appropriated for this specific purpose,</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subject to the availability of amounts appropriated for this specific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w:t>
      </w:r>
      <w:r>
        <w:rPr>
          <w:u w:val="single"/>
        </w:rPr>
        <w:t xml:space="preserve">Periodically review the efficacy of programs and practices designed to meet the needs of students who are not meeting academic standards as defined in RCW 28A.165.015, starting with the best practices and strategies included on the state menus developed under RCW 28A.165.035, as repealed by this act, and RCW 28A.655.235, and the services and activities listed in RCW 28A.165.035, as repealed by this act;</w:t>
      </w:r>
    </w:p>
    <w:p>
      <w:pPr>
        <w:spacing w:before="0" w:after="0" w:line="408" w:lineRule="exact"/>
        <w:ind w:left="0" w:right="0" w:firstLine="576"/>
        <w:jc w:val="left"/>
      </w:pPr>
      <w:r>
        <w:rPr>
          <w:u w:val="single"/>
        </w:rPr>
        <w:t xml:space="preserve">(d)</w:t>
      </w:r>
      <w:r>
        <w:rPr/>
        <w:t xml:space="preserve"> Develop and maintain an internet web site to increase the availability of information, research, and other materials;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training and consultation services, including conducting regional summer institutes;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(j)</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859ca8a816b4a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7ed3fdf874979" /><Relationship Type="http://schemas.openxmlformats.org/officeDocument/2006/relationships/footer" Target="/word/footer1.xml" Id="R0859ca8a816b4a95" /></Relationships>
</file>