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1602af6fa54097" /></Relationships>
</file>

<file path=word/document.xml><?xml version="1.0" encoding="utf-8"?>
<w:document xmlns:w="http://schemas.openxmlformats.org/wordprocessingml/2006/main">
  <w:body>
    <w:p>
      <w:r>
        <w:t>H-0354.1</w:t>
      </w:r>
    </w:p>
    <w:p>
      <w:pPr>
        <w:jc w:val="center"/>
      </w:pPr>
      <w:r>
        <w:t>_______________________________________________</w:t>
      </w:r>
    </w:p>
    <w:p/>
    <w:p>
      <w:pPr>
        <w:jc w:val="center"/>
      </w:pPr>
      <w:r>
        <w:rPr>
          <w:b/>
        </w:rPr>
        <w:t>HOUSE BILL 1213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Senn, Chopp, Ramos, Bateman, Sells, Shewmake, Lekanoff, Peterson, Stonier, Duerr, Fitzgibbon, Berry, Rule, Davis, Wicks, Fey, Callan, Dolan, Frame, Lovick, Chapman, Ryu, Santos, Thai, Ortiz-Self, Orwall, Simmons, Slatter, Gregerson, Bergquist, Hackney, Valdez, Ramel, Riccelli, Macri, Goodman, and Harris-Talley</w:t>
      </w:r>
    </w:p>
    <w:p/>
    <w:p>
      <w:r>
        <w:rPr>
          <w:t xml:space="preserve">Read first time 01/15/21.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43.216.136, 43.216.505, 43.216.512,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high-quality perinatal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perinatal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 including but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access to affordable health care for staff in child care centers, family home providers, and early childhood education and assistance program staff;</w:t>
      </w:r>
    </w:p>
    <w:p>
      <w:pPr>
        <w:spacing w:before="0" w:after="0" w:line="408" w:lineRule="exact"/>
        <w:ind w:left="0" w:right="0" w:firstLine="576"/>
        <w:jc w:val="left"/>
      </w:pPr>
      <w:r>
        <w:rPr/>
        <w:t xml:space="preserve">(c)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(d) Making child care affordable for families;</w:t>
      </w:r>
    </w:p>
    <w:p>
      <w:pPr>
        <w:spacing w:before="0" w:after="0" w:line="408" w:lineRule="exact"/>
        <w:ind w:left="0" w:right="0" w:firstLine="576"/>
        <w:jc w:val="left"/>
      </w:pPr>
      <w:r>
        <w:rPr/>
        <w:t xml:space="preserve">(e) Providing resources and supports for family, friend, and neighbor caregivers that better reflect the full cost of care;</w:t>
      </w:r>
    </w:p>
    <w:p>
      <w:pPr>
        <w:spacing w:before="0" w:after="0" w:line="408" w:lineRule="exact"/>
        <w:ind w:left="0" w:right="0" w:firstLine="576"/>
        <w:jc w:val="left"/>
      </w:pPr>
      <w:r>
        <w:rPr/>
        <w:t xml:space="preserve">(f) Providing professional development opportunities for child care and early learning providers;</w:t>
      </w:r>
    </w:p>
    <w:p>
      <w:pPr>
        <w:spacing w:before="0" w:after="0" w:line="408" w:lineRule="exact"/>
        <w:ind w:left="0" w:right="0" w:firstLine="576"/>
        <w:jc w:val="left"/>
      </w:pPr>
      <w:r>
        <w:rPr/>
        <w:t xml:space="preserve">(g) Delivering infant and early childhood mental health consultation services;</w:t>
      </w:r>
    </w:p>
    <w:p>
      <w:pPr>
        <w:spacing w:before="0" w:after="0" w:line="408" w:lineRule="exact"/>
        <w:ind w:left="0" w:right="0" w:firstLine="576"/>
        <w:jc w:val="left"/>
      </w:pPr>
      <w:r>
        <w:rPr/>
        <w:t xml:space="preserve">(h) Providing child care for school-age children;</w:t>
      </w:r>
    </w:p>
    <w:p>
      <w:pPr>
        <w:spacing w:before="0" w:after="0" w:line="408" w:lineRule="exact"/>
        <w:ind w:left="0" w:right="0" w:firstLine="576"/>
        <w:jc w:val="left"/>
      </w:pPr>
      <w:r>
        <w:rPr/>
        <w:t xml:space="preserve">(i) Awarding grants and loans through the early learning facilities grant and loan program established under chapter 43.31 RCW;</w:t>
      </w:r>
    </w:p>
    <w:p>
      <w:pPr>
        <w:spacing w:before="0" w:after="0" w:line="408" w:lineRule="exact"/>
        <w:ind w:left="0" w:right="0" w:firstLine="576"/>
        <w:jc w:val="left"/>
      </w:pPr>
      <w:r>
        <w:rPr/>
        <w:t xml:space="preserve">(j) Paying enhanced rates for special rate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(k)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(l) Providing access to learning technology;</w:t>
      </w:r>
    </w:p>
    <w:p>
      <w:pPr>
        <w:spacing w:before="0" w:after="0" w:line="408" w:lineRule="exact"/>
        <w:ind w:left="0" w:right="0" w:firstLine="576"/>
        <w:jc w:val="left"/>
      </w:pPr>
      <w:r>
        <w:rPr/>
        <w:t xml:space="preserve">(m) Providing child care resource and referral services;</w:t>
      </w:r>
    </w:p>
    <w:p>
      <w:pPr>
        <w:spacing w:before="0" w:after="0" w:line="408" w:lineRule="exact"/>
        <w:ind w:left="0" w:right="0" w:firstLine="576"/>
        <w:jc w:val="left"/>
      </w:pPr>
      <w:r>
        <w:rPr/>
        <w:t xml:space="preserve">(n) Conducting quality rating and improvement system activities through the early achievers program;</w:t>
      </w:r>
    </w:p>
    <w:p>
      <w:pPr>
        <w:spacing w:before="0" w:after="0" w:line="408" w:lineRule="exact"/>
        <w:ind w:left="0" w:right="0" w:firstLine="576"/>
        <w:jc w:val="left"/>
      </w:pPr>
      <w:r>
        <w:rPr/>
        <w:t xml:space="preserve">(o) Expanding perinatal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(p) Building and delivering a family resource and referral linkage system;</w:t>
      </w:r>
    </w:p>
    <w:p>
      <w:pPr>
        <w:spacing w:before="0" w:after="0" w:line="408" w:lineRule="exact"/>
        <w:ind w:left="0" w:right="0" w:firstLine="576"/>
        <w:jc w:val="left"/>
      </w:pPr>
      <w:r>
        <w:rPr/>
        <w:t xml:space="preserve">(q)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(r)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(s) Providing incentives for child care providers to become licensed; and</w:t>
      </w:r>
    </w:p>
    <w:p>
      <w:pPr>
        <w:spacing w:before="0" w:after="0" w:line="408" w:lineRule="exact"/>
        <w:ind w:left="0" w:right="0" w:firstLine="576"/>
        <w:jc w:val="left"/>
      </w:pPr>
      <w:r>
        <w:rPr/>
        <w:t xml:space="preserve">(t) Recognizing the benefits of the diverse workforce and facilitating communication in the three most commonly spoken languages.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assist the department in promoting alignment of private and public sector actions, objectives, and resources, ensuring school readiness</w:t>
      </w:r>
      <w:r>
        <w:rPr>
          <w:u w:val="single"/>
        </w:rPr>
        <w:t xml:space="preserve">;</w:t>
      </w:r>
    </w:p>
    <w:p>
      <w:pPr>
        <w:spacing w:before="0" w:after="0" w:line="408" w:lineRule="exact"/>
        <w:ind w:left="0" w:right="0" w:firstLine="576"/>
        <w:jc w:val="left"/>
      </w:pPr>
      <w:r>
        <w:rPr>
          <w:u w:val="single"/>
        </w:rPr>
        <w:t xml:space="preserve">(b) Provide guidance and recommendations to the governor and the legislature on phasing in child care and early learning priorities as system capacity is developed and revenue is expanded to build a comprehensive system of quality early learning programs and services available to and affordable for Washington's young children and families;</w:t>
      </w:r>
    </w:p>
    <w:p>
      <w:pPr>
        <w:spacing w:before="0" w:after="0" w:line="408" w:lineRule="exact"/>
        <w:ind w:left="0" w:right="0" w:firstLine="576"/>
        <w:jc w:val="left"/>
      </w:pPr>
      <w:r>
        <w:rPr>
          <w:u w:val="single"/>
        </w:rPr>
        <w:t xml:space="preserve">(c) Keep racial equity and inclusion, undoing intergenerational poverty, and addressing systemic racism at its core; and</w:t>
      </w:r>
    </w:p>
    <w:p>
      <w:pPr>
        <w:spacing w:before="0" w:after="0" w:line="408" w:lineRule="exact"/>
        <w:ind w:left="0" w:right="0" w:firstLine="576"/>
        <w:jc w:val="left"/>
      </w:pPr>
      <w:r>
        <w:rPr>
          <w:u w:val="single"/>
        </w:rPr>
        <w:t xml:space="preserve">(d) Exercise fiscal accountability for the child care and early learning investments funded by the fair start for kids account created in section 101 of this act by ensuring these investments are producing the intended results of:</w:t>
      </w:r>
    </w:p>
    <w:p>
      <w:pPr>
        <w:spacing w:before="0" w:after="0" w:line="408" w:lineRule="exact"/>
        <w:ind w:left="0" w:right="0" w:firstLine="576"/>
        <w:jc w:val="left"/>
      </w:pPr>
      <w:r>
        <w:rPr>
          <w:u w:val="single"/>
        </w:rPr>
        <w:t xml:space="preserve">(i) Support businesses and the statewide economy;</w:t>
      </w:r>
    </w:p>
    <w:p>
      <w:pPr>
        <w:spacing w:before="0" w:after="0" w:line="408" w:lineRule="exact"/>
        <w:ind w:left="0" w:right="0" w:firstLine="576"/>
        <w:jc w:val="left"/>
      </w:pPr>
      <w:r>
        <w:rPr>
          <w:u w:val="single"/>
        </w:rPr>
        <w:t xml:space="preserve">(ii) Support working parents;</w:t>
      </w:r>
    </w:p>
    <w:p>
      <w:pPr>
        <w:spacing w:before="0" w:after="0" w:line="408" w:lineRule="exact"/>
        <w:ind w:left="0" w:right="0" w:firstLine="576"/>
        <w:jc w:val="left"/>
      </w:pPr>
      <w:r>
        <w:rPr>
          <w:u w:val="single"/>
        </w:rPr>
        <w:t xml:space="preserve">(iii) Promote kindergarten readiness;</w:t>
      </w:r>
    </w:p>
    <w:p>
      <w:pPr>
        <w:spacing w:before="0" w:after="0" w:line="408" w:lineRule="exact"/>
        <w:ind w:left="0" w:right="0" w:firstLine="576"/>
        <w:jc w:val="left"/>
      </w:pPr>
      <w:r>
        <w:rPr>
          <w:u w:val="single"/>
        </w:rPr>
        <w:t xml:space="preserve">(iv) Enhance child development including social-emotional skills;</w:t>
      </w:r>
    </w:p>
    <w:p>
      <w:pPr>
        <w:spacing w:before="0" w:after="0" w:line="408" w:lineRule="exact"/>
        <w:ind w:left="0" w:right="0" w:firstLine="576"/>
        <w:jc w:val="left"/>
      </w:pPr>
      <w:r>
        <w:rPr>
          <w:u w:val="single"/>
        </w:rPr>
        <w:t xml:space="preserve">(v) Stabilize, support, and grow the early learning workforce;</w:t>
      </w:r>
    </w:p>
    <w:p>
      <w:pPr>
        <w:spacing w:before="0" w:after="0" w:line="408" w:lineRule="exact"/>
        <w:ind w:left="0" w:right="0" w:firstLine="576"/>
        <w:jc w:val="left"/>
      </w:pPr>
      <w:r>
        <w:rPr>
          <w:u w:val="single"/>
        </w:rPr>
        <w:t xml:space="preserve">(vi) Provide affordable and accessible child care, particularly in underserved communities;</w:t>
      </w:r>
    </w:p>
    <w:p>
      <w:pPr>
        <w:spacing w:before="0" w:after="0" w:line="408" w:lineRule="exact"/>
        <w:ind w:left="0" w:right="0" w:firstLine="576"/>
        <w:jc w:val="left"/>
      </w:pPr>
      <w:r>
        <w:rPr>
          <w:u w:val="single"/>
        </w:rPr>
        <w:t xml:space="preserve">(vii) Advance racial equity;</w:t>
      </w:r>
    </w:p>
    <w:p>
      <w:pPr>
        <w:spacing w:before="0" w:after="0" w:line="408" w:lineRule="exact"/>
        <w:ind w:left="0" w:right="0" w:firstLine="576"/>
        <w:jc w:val="left"/>
      </w:pPr>
      <w:r>
        <w:rPr>
          <w:u w:val="single"/>
        </w:rPr>
        <w:t xml:space="preserve">(viii) Eliminate exclusionary admissions and disproportionate removals;</w:t>
      </w:r>
    </w:p>
    <w:p>
      <w:pPr>
        <w:spacing w:before="0" w:after="0" w:line="408" w:lineRule="exact"/>
        <w:ind w:left="0" w:right="0" w:firstLine="576"/>
        <w:jc w:val="left"/>
      </w:pPr>
      <w:r>
        <w:rPr>
          <w:u w:val="single"/>
        </w:rPr>
        <w:t xml:space="preserve">(ix) Recognize and support the growing diversity of our state's families and meeting their needs; and</w:t>
      </w:r>
    </w:p>
    <w:p>
      <w:pPr>
        <w:spacing w:before="0" w:after="0" w:line="408" w:lineRule="exact"/>
        <w:ind w:left="0" w:right="0" w:firstLine="576"/>
        <w:jc w:val="left"/>
      </w:pPr>
      <w:r>
        <w:rPr>
          <w:u w:val="single"/>
        </w:rPr>
        <w:t xml:space="preserve">(x) Strengthen families</w:t>
      </w:r>
      <w:r>
        <w:rPr/>
        <w:t xml:space="preserve">.</w:t>
      </w:r>
    </w:p>
    <w:p>
      <w:pPr>
        <w:spacing w:before="0" w:after="0" w:line="408" w:lineRule="exact"/>
        <w:ind w:left="0" w:right="0" w:firstLine="576"/>
        <w:jc w:val="left"/>
      </w:pPr>
      <w:r>
        <w:rPr/>
        <w:t xml:space="preserve">(3) The council shall include diverse, statewide representation from public, nonprofit, and for-profit entities. Its membership shall include critical partners in service delivery and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or migrant/seasonal head start program;</w:t>
      </w:r>
    </w:p>
    <w:p>
      <w:pPr>
        <w:spacing w:before="0" w:after="0" w:line="408" w:lineRule="exact"/>
        <w:ind w:left="0" w:right="0" w:firstLine="576"/>
        <w:jc w:val="left"/>
      </w:pPr>
      <w:r>
        <w:rPr/>
        <w:t xml:space="preserve">(iii) A representative of a local education agency;</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w:t>
      </w:r>
      <w:r>
        <w:t>((</w:t>
      </w:r>
      <w:r>
        <w:rPr>
          <w:strike/>
        </w:rPr>
        <w:t xml:space="preserve">day care</w:t>
      </w:r>
      <w:r>
        <w:t>))</w:t>
      </w:r>
      <w:r>
        <w:rPr/>
        <w:t xml:space="preserve"> </w:t>
      </w:r>
      <w:r>
        <w:rPr>
          <w:u w:val="single"/>
        </w:rPr>
        <w:t xml:space="preserve">home</w:t>
      </w:r>
      <w:r>
        <w:rPr/>
        <w:t xml:space="preserve"> providers;</w:t>
      </w:r>
    </w:p>
    <w:p>
      <w:pPr>
        <w:spacing w:before="0" w:after="0" w:line="408" w:lineRule="exact"/>
        <w:ind w:left="0" w:right="0" w:firstLine="576"/>
        <w:jc w:val="left"/>
      </w:pPr>
      <w:r>
        <w:rPr/>
        <w:t xml:space="preserve">(vii) A representative of child </w:t>
      </w:r>
      <w:r>
        <w:t>((</w:t>
      </w:r>
      <w:r>
        <w:rPr>
          <w:strike/>
        </w:rPr>
        <w:t xml:space="preserve">day</w:t>
      </w:r>
      <w:r>
        <w:t>))</w:t>
      </w:r>
      <w:r>
        <w:rPr/>
        <w:t xml:space="preserve"> care centers; </w:t>
      </w:r>
      <w:r>
        <w:t>((</w:t>
      </w:r>
      <w:r>
        <w:rPr>
          <w:strike/>
        </w:rPr>
        <w:t xml:space="preserve">and</w:t>
      </w:r>
      <w:r>
        <w:t>))</w:t>
      </w:r>
    </w:p>
    <w:p>
      <w:pPr>
        <w:spacing w:before="0" w:after="0" w:line="408" w:lineRule="exact"/>
        <w:ind w:left="0" w:right="0" w:firstLine="576"/>
        <w:jc w:val="left"/>
      </w:pPr>
      <w:r>
        <w:rPr/>
        <w:t xml:space="preserve">(viii) A representative from the home visiting advisory committee established in RCW 43.216.130;</w:t>
      </w:r>
    </w:p>
    <w:p>
      <w:pPr>
        <w:spacing w:before="0" w:after="0" w:line="408" w:lineRule="exact"/>
        <w:ind w:left="0" w:right="0" w:firstLine="576"/>
        <w:jc w:val="left"/>
      </w:pPr>
      <w:r>
        <w:rPr>
          <w:u w:val="single"/>
        </w:rPr>
        <w:t xml:space="preserve">(ix) An infant or early childhood mental health expert;</w:t>
      </w:r>
    </w:p>
    <w:p>
      <w:pPr>
        <w:spacing w:before="0" w:after="0" w:line="408" w:lineRule="exact"/>
        <w:ind w:left="0" w:right="0" w:firstLine="576"/>
        <w:jc w:val="left"/>
      </w:pPr>
      <w:r>
        <w:rPr>
          <w:u w:val="single"/>
        </w:rPr>
        <w:t xml:space="preserve">(x) A family, friend, and neighbor caregiver;</w:t>
      </w:r>
    </w:p>
    <w:p>
      <w:pPr>
        <w:spacing w:before="0" w:after="0" w:line="408" w:lineRule="exact"/>
        <w:ind w:left="0" w:right="0" w:firstLine="576"/>
        <w:jc w:val="left"/>
      </w:pPr>
      <w:r>
        <w:rPr>
          <w:u w:val="single"/>
        </w:rPr>
        <w:t xml:space="preserve">(xi) A representative from perinatal to three services;</w:t>
      </w:r>
    </w:p>
    <w:p>
      <w:pPr>
        <w:spacing w:before="0" w:after="0" w:line="408" w:lineRule="exact"/>
        <w:ind w:left="0" w:right="0" w:firstLine="576"/>
        <w:jc w:val="left"/>
      </w:pPr>
      <w:r>
        <w:rPr>
          <w:u w:val="single"/>
        </w:rPr>
        <w:t xml:space="preserve">(xii) A pediatrician; and</w:t>
      </w:r>
    </w:p>
    <w:p>
      <w:pPr>
        <w:spacing w:before="0" w:after="0" w:line="408" w:lineRule="exact"/>
        <w:ind w:left="0" w:right="0" w:firstLine="576"/>
        <w:jc w:val="left"/>
      </w:pPr>
      <w:r>
        <w:rPr>
          <w:u w:val="single"/>
        </w:rPr>
        <w:t xml:space="preserve">(xiii) A representative of the statewide child care resource and referral organization;</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43.216.065, to be appointed by the partnership board;</w:t>
      </w:r>
    </w:p>
    <w:p>
      <w:pPr>
        <w:spacing w:before="0" w:after="0" w:line="408" w:lineRule="exact"/>
        <w:ind w:left="0" w:right="0" w:firstLine="576"/>
        <w:jc w:val="left"/>
      </w:pPr>
      <w:r>
        <w:rPr/>
        <w:t xml:space="preserve">(g) One representative from the developmental disabilities community;</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and</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w:t>
      </w:r>
      <w:r>
        <w:rPr>
          <w:u w:val="single"/>
        </w:rPr>
        <w:t xml:space="preserve">One representative from the office of equity established under chapter 43.06D RCW;</w:t>
      </w:r>
    </w:p>
    <w:p>
      <w:pPr>
        <w:spacing w:before="0" w:after="0" w:line="408" w:lineRule="exact"/>
        <w:ind w:left="0" w:right="0" w:firstLine="576"/>
        <w:jc w:val="left"/>
      </w:pPr>
      <w:r>
        <w:rPr>
          <w:u w:val="single"/>
        </w:rPr>
        <w:t xml:space="preserve">(l) One representative from the women's commission established under chapter 43.119 RCW;</w:t>
      </w:r>
    </w:p>
    <w:p>
      <w:pPr>
        <w:spacing w:before="0" w:after="0" w:line="408" w:lineRule="exact"/>
        <w:ind w:left="0" w:right="0" w:firstLine="576"/>
        <w:jc w:val="left"/>
      </w:pP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Two representatives from an association representing statewide business interests;</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 and</w:t>
      </w:r>
    </w:p>
    <w:p>
      <w:pPr>
        <w:spacing w:before="0" w:after="0" w:line="408" w:lineRule="exact"/>
        <w:ind w:left="0" w:right="0" w:firstLine="576"/>
        <w:jc w:val="left"/>
      </w:pPr>
      <w:r>
        <w:rPr>
          <w:u w:val="single"/>
        </w:rPr>
        <w:t xml:space="preserve">(s) One representative from a union representing child care providers</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that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By July 1, 2025,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By July 1, 2025, and subject to the availability of amounts appropriated for this specific purpose, a family is eligible for working connections child care when the household's annual income is above 85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75 percent and at or below 85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85 percent and at or below 100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Calculated according to a copayment model adopted by the department</w:t>
            </w:r>
          </w:p>
        </w:tc>
      </w:tr>
    </w:tbl>
    <w:p>
      <w:pPr>
        <w:spacing w:before="0" w:after="0" w:line="408" w:lineRule="exact"/>
        <w:ind w:left="0" w:right="0" w:firstLine="576"/>
        <w:jc w:val="left"/>
      </w:pPr>
      <w:r>
        <w:rPr/>
        <w:t xml:space="preserve">(b) The department shall adopt a copayment model based on available revenue for households with annual incomes above 85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2023</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the early support for infants and toddlers, the birth to three early childhood education and assistance program, or the early childhood intervention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(f) Beginning in the 2030-31 school year, is Indian as defined in rule by the department after consultation and agreement with Washington state's federally recognized tribes pursuant to section 207 of this act and is at or below 100 percent of the state median income adjusted for family size</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those of a family with financial need, as defined in RCW 43.216.505, but less than or equal to 100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Developmental delay or disability that does not meet the eligibility criteria for special education described in RCW 28A.155.020;</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w:t>
      </w:r>
      <w:r>
        <w:t>((</w:t>
      </w:r>
      <w:r>
        <w:rPr>
          <w:strike/>
        </w:rPr>
        <w:t xml:space="preserve">the child is not eligible under RCW 43.216.505 and</w:t>
      </w:r>
      <w:r>
        <w:t>))</w:t>
      </w:r>
      <w:r>
        <w:rPr/>
        <w:t xml:space="preserve"> the child turns three years old at any time during the school year when the child:</w:t>
      </w:r>
    </w:p>
    <w:p>
      <w:pPr>
        <w:spacing w:before="0" w:after="0" w:line="408" w:lineRule="exact"/>
        <w:ind w:left="0" w:right="0" w:firstLine="576"/>
        <w:jc w:val="left"/>
      </w:pPr>
      <w:r>
        <w:rPr/>
        <w:t xml:space="preserve">(a) Has a family income at or below </w:t>
      </w:r>
      <w:r>
        <w:t>((</w:t>
      </w:r>
      <w:r>
        <w:rPr>
          <w:strike/>
        </w:rPr>
        <w:t xml:space="preserve">two hundred</w:t>
      </w:r>
      <w:r>
        <w:t>))</w:t>
      </w:r>
      <w:r>
        <w:rPr/>
        <w:t xml:space="preserve"> </w:t>
      </w:r>
      <w:r>
        <w:rPr>
          <w:u w:val="single"/>
        </w:rPr>
        <w:t xml:space="preserve">100</w:t>
      </w:r>
      <w:r>
        <w:rPr/>
        <w:t xml:space="preserve"> percent of the </w:t>
      </w:r>
      <w:r>
        <w:t>((</w:t>
      </w:r>
      <w:r>
        <w:rPr>
          <w:strike/>
        </w:rPr>
        <w:t xml:space="preserve">federal poverty level</w:t>
      </w:r>
      <w:r>
        <w:t>))</w:t>
      </w:r>
      <w:r>
        <w:rPr/>
        <w:t xml:space="preserve"> </w:t>
      </w:r>
      <w:r>
        <w:rPr>
          <w:u w:val="single"/>
        </w:rPr>
        <w:t xml:space="preserve">state median income</w:t>
      </w:r>
      <w:r>
        <w:rPr/>
        <w:t xml:space="preserv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w:t>
      </w:r>
      <w:r>
        <w:t>((</w:t>
      </w:r>
      <w:r>
        <w:rPr>
          <w:strike/>
        </w:rPr>
        <w:t xml:space="preserve">, if such a program is established</w:t>
      </w:r>
      <w:r>
        <w:t>))</w:t>
      </w:r>
      <w:r>
        <w:rPr/>
        <w:t xml:space="preserve">.</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TUITION COPAYMENT FOR EXPANDED ENROLLMENT.</w:t>
      </w:r>
      <w:r>
        <w:t xml:space="preserve">  </w:t>
      </w:r>
      <w:r>
        <w:rPr/>
        <w:t xml:space="preserve">(1) Subject to the availability of amounts appropriated for this specific purpose, families who are enrolled in the early childhood education and assistance program under RCW 43.216.512 must pay a monthly tuition copayment according to a copayment model adopted by the department.</w:t>
      </w:r>
    </w:p>
    <w:p>
      <w:pPr>
        <w:spacing w:before="0" w:after="0" w:line="408" w:lineRule="exact"/>
        <w:ind w:left="0" w:right="0" w:firstLine="576"/>
        <w:jc w:val="left"/>
      </w:pPr>
      <w:r>
        <w:rPr/>
        <w:t xml:space="preserve">(2) The model must calculate a copayment for each family that is no greater than seven percent of the family's countable income within this income range. The department must also consider integrating the copayment model with working connections child care and other early learning programs to reduce burdens on families.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(2)(a) By July 1, 2021, child care subsidy base rates must achieve the 75th percentile of market for licensed or certified child care providers.</w:t>
      </w:r>
    </w:p>
    <w:p>
      <w:pPr>
        <w:spacing w:before="0" w:after="0" w:line="408" w:lineRule="exact"/>
        <w:ind w:left="0" w:right="0" w:firstLine="576"/>
        <w:jc w:val="left"/>
      </w:pPr>
      <w:r>
        <w:rPr>
          <w:u w:val="single"/>
        </w:rPr>
        <w:t xml:space="preserve">(b) By July 1, 2023,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 The department shall build upon the work of the child care collaborative task force to develop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Rates for the early childhood education and assistance program shall be established as follows:</w:t>
      </w:r>
    </w:p>
    <w:p>
      <w:pPr>
        <w:spacing w:before="0" w:after="0" w:line="408" w:lineRule="exact"/>
        <w:ind w:left="0" w:right="0" w:firstLine="576"/>
        <w:jc w:val="left"/>
      </w:pPr>
      <w:r>
        <w:rPr/>
        <w:t xml:space="preserve">(a) For the 2021-22 and 2022-23 school years, rates must be set at a level at least five percent higher than the rates established in section 225, chapter 415, Laws of 2019.</w:t>
      </w:r>
    </w:p>
    <w:p>
      <w:pPr>
        <w:spacing w:before="0" w:after="0" w:line="408" w:lineRule="exact"/>
        <w:ind w:left="0" w:right="0" w:firstLine="576"/>
        <w:jc w:val="left"/>
      </w:pPr>
      <w:r>
        <w:rPr/>
        <w:t xml:space="preserve">(b) For the 2023-24 school year, rates shall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The department shall administer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and providers, and one fund must support licensed or certified child care providers and license-exempt child care programs. </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By July 1, 2022, the department shall provide supports to aid eligible providers in providing trauma-informed care. Trauma-informed care supports may include:</w:t>
      </w:r>
    </w:p>
    <w:p>
      <w:pPr>
        <w:spacing w:before="0" w:after="0" w:line="408" w:lineRule="exact"/>
        <w:ind w:left="0" w:right="0" w:firstLine="576"/>
        <w:jc w:val="left"/>
      </w:pPr>
      <w:r>
        <w:rPr/>
        <w:t xml:space="preserve">(a) Wage increases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To the extent practicable, parties should consider in collective bargaining agreements, beginning in the 2023-2025 fiscal biennium, implementation of a rate structure similar to the provisions in this section.</w:t>
      </w:r>
    </w:p>
    <w:p>
      <w:pPr>
        <w:spacing w:before="0" w:after="0" w:line="408" w:lineRule="exact"/>
        <w:ind w:left="0" w:right="0" w:firstLine="576"/>
        <w:jc w:val="left"/>
      </w:pPr>
      <w:r>
        <w:rPr/>
        <w:t xml:space="preserve">(4)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By July 1, 2022, the department shall establish a dual language designation and provide a subsidy rate enhancement for licensed or certified child care providers who are accepting state subsidy; early childhood education and assistance program contractors; or birth to three early childhood education and assistance program contractors. It is the intent of the legislature to allow uses of the rate enhancement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0" w:after="0" w:line="408" w:lineRule="exact"/>
        <w:ind w:left="0" w:right="0" w:firstLine="576"/>
        <w:jc w:val="left"/>
      </w:pPr>
      <w:r>
        <w:rPr/>
        <w:t xml:space="preserve">(4) To the extent practicable, parties should consider in collective bargaining agreements, beginning in the 2023-2025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The department shall administer or contract for infant and early childhood mental health consultation services and supervision to child care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must provide supervisors for infant and early childhood mental health consultants to provide reflective supervision and overall coordination of service delivery.</w:t>
      </w:r>
    </w:p>
    <w:p>
      <w:pPr>
        <w:spacing w:before="0" w:after="0" w:line="408" w:lineRule="exact"/>
        <w:ind w:left="0" w:right="0" w:firstLine="576"/>
        <w:jc w:val="left"/>
      </w:pPr>
      <w:r>
        <w:rPr/>
        <w:t xml:space="preserve">(4) As capacity allows, the department may provide access to infant and early childhood mental health consultation services to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By July 1, 2021, the</w:t>
      </w:r>
      <w:r>
        <w:rPr/>
        <w:t xml:space="preserve"> department of children, youth, and families must </w:t>
      </w:r>
      <w:r>
        <w:rPr>
          <w:u w:val="single"/>
        </w:rPr>
        <w:t xml:space="preserve">have one infant and early childhood mental health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two</w:t>
      </w:r>
      <w:r>
        <w:rPr/>
        <w:t xml:space="preserve"> qualified </w:t>
      </w:r>
      <w:r>
        <w:rPr>
          <w:u w:val="single"/>
        </w:rPr>
        <w:t xml:space="preserve">infant and early childhood</w:t>
      </w:r>
      <w:r>
        <w:rPr/>
        <w:t xml:space="preserve"> mental health consultant</w:t>
      </w:r>
      <w:r>
        <w:rPr>
          <w:u w:val="single"/>
        </w:rPr>
        <w:t xml:space="preserve">s</w:t>
      </w:r>
      <w:r>
        <w:rPr/>
        <w:t xml:space="preserve"> for each of the six department-designated regions.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trainings delivered by department-approved trainers on topics such as small business management, antibias and antiracist training, providing care for children with developmental disabilities,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PERINATAL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PERINATAL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perinatal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perinatal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perinatal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By July 1, 2021,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17 months.</w:t>
      </w:r>
    </w:p>
    <w:p>
      <w:pPr>
        <w:spacing w:before="0" w:after="0" w:line="408" w:lineRule="exact"/>
        <w:ind w:left="0" w:right="0" w:firstLine="576"/>
        <w:jc w:val="left"/>
      </w:pPr>
      <w:r>
        <w:rPr/>
        <w:t xml:space="preserve">(3) To the extent practicable, parties should consider in collective bargaining agreements, beginning in the 2021-2023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prevention services program, and other related services for children who are:</w:t>
      </w:r>
    </w:p>
    <w:p>
      <w:pPr>
        <w:spacing w:before="0" w:after="0" w:line="408" w:lineRule="exact"/>
        <w:ind w:left="0" w:right="0" w:firstLine="576"/>
        <w:jc w:val="left"/>
      </w:pPr>
      <w:r>
        <w:rPr/>
        <w:t xml:space="preserve">(a) Between the ages of birth and five years;</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 and</w:t>
      </w:r>
    </w:p>
    <w:p>
      <w:pPr>
        <w:spacing w:before="0" w:after="0" w:line="408" w:lineRule="exact"/>
        <w:ind w:left="0" w:right="0" w:firstLine="576"/>
        <w:jc w:val="left"/>
      </w:pPr>
      <w:r>
        <w:rPr/>
        <w:t xml:space="preserve">(c) Enrolled in apple health for kids.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103, 201, 206, 207, 302 through 307, 309, 311, 312, 402, 404, and 405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4f68bf1433246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c0e2eeba6c4d14" /><Relationship Type="http://schemas.openxmlformats.org/officeDocument/2006/relationships/footer" Target="/word/footer1.xml" Id="R74f68bf1433246e9" /></Relationships>
</file>