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b2e5d3583c4a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1216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Ramos, Callan, Lekanoff, Fitzgibbon, Kloba, Ortiz-Self, Ormsby, Hackney, and Ramel; by request of Department of Natural Resources)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and community forestry; amending RCW 76.15.005, 76.15.007, 76.15.010, 76.15.020, 76.15.030, 76.15.050, 76.15.060, 76.15.090, 35.92.390, 35A.80.040, 80.28.300, 89.08.520, 79.105.150, 43.155.120, 70A.135.070, 79A.15.040, 36.01.260, 54.16.400, 89.08.590, 79.105.630, and 79A.15.150; adding new sections to chapter 76.15 RCW; creating new sections; and repealing RCW 35.105.010, 35.105.020, 35.105.030, 35.105.040, 35.105.050, 35.105.060, 35.105.070, 35.105.080, 35.105.090, 35.105.100, 35.105.110, 35.105.120, 76.15.070, and 76.15.080.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0" w:after="0" w:line="408" w:lineRule="exact"/>
        <w:ind w:left="0" w:right="0" w:firstLine="576"/>
        <w:jc w:val="left"/>
      </w:pPr>
      <w:r>
        <w:rPr>
          <w:u w:val="single"/>
        </w:rPr>
        <w:t xml:space="preserve">(5) An owner of private property may opt out of an urban and community forestry program established by a city, county, or federally recognized tribe pursuant to this chapter. The property owner opting out must provide notice to the city, county, or federally recognized tribe in either written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
      <w:pPr>
        <w:jc w:val="center"/>
      </w:pPr>
      <w:r>
        <w:rPr>
          <w:b/>
        </w:rPr>
        <w:t>--- END ---</w:t>
      </w:r>
    </w:p>
    <w:sectPr>
      <w:pgNumType w:start="1"/>
      <w:footerReference xmlns:r="http://schemas.openxmlformats.org/officeDocument/2006/relationships" r:id="Ra05130a23f1d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90b99a774f4d27" /><Relationship Type="http://schemas.openxmlformats.org/officeDocument/2006/relationships/footer" Target="/word/footer1.xml" Id="Ra05130a23f1d4974" /></Relationships>
</file>