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4f3dd54f844846" /></Relationships>
</file>

<file path=word/document.xml><?xml version="1.0" encoding="utf-8"?>
<w:document xmlns:w="http://schemas.openxmlformats.org/wordprocessingml/2006/main">
  <w:body>
    <w:p>
      <w:r>
        <w:t>H-0339.1</w:t>
      </w:r>
    </w:p>
    <w:p>
      <w:pPr>
        <w:jc w:val="center"/>
      </w:pPr>
      <w:r>
        <w:t>_______________________________________________</w:t>
      </w:r>
    </w:p>
    <w:p/>
    <w:p>
      <w:pPr>
        <w:jc w:val="center"/>
      </w:pPr>
      <w:r>
        <w:rPr>
          <w:b/>
        </w:rPr>
        <w:t>HOUSE BILL 1220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Macri, Bateman, Ryu, Lekanoff, Fitzgibbon, Kloba, Davis, Lovick, Santos, Ortiz-Self, Simmons, Berg, Hackney, Chopp, Tharinger, and Frame</w:t>
      </w:r>
    </w:p>
    <w:p/>
    <w:p>
      <w:r>
        <w:rPr>
          <w:t xml:space="preserve">Read first time 01/15/21.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emergency shelters and housing through local planning and development regulations; amending RCW 36.70A.020 and 36.70A.030; reenacting and amending RCW 36.70A.070; adding a new section to chapter 35A.21 RCW; and adding a new section to chapter 35.21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 </w:t>
      </w:r>
      <w:r>
        <w:rPr>
          <w:u w:val="single"/>
        </w:rPr>
        <w:t xml:space="preserve">and moderate density housing options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land </w:t>
      </w:r>
      <w:r>
        <w:rPr>
          <w:u w:val="single"/>
        </w:rPr>
        <w:t xml:space="preserve">and zoning capacities</w:t>
      </w:r>
      <w:r>
        <w:rPr/>
        <w:t xml:space="preserve"> for housing,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and permanent supportive housing</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special consideration for low, very low, extremely low, and moderate-income households; and</w:t>
      </w:r>
    </w:p>
    <w:p>
      <w:pPr>
        <w:spacing w:before="0" w:after="0" w:line="408" w:lineRule="exact"/>
        <w:ind w:left="0" w:right="0" w:firstLine="576"/>
        <w:jc w:val="left"/>
      </w:pPr>
      <w:r>
        <w:rPr>
          <w:u w:val="single"/>
        </w:rPr>
        <w:t xml:space="preserve">(ii) If unable to achieve adequate housing for low, very low, and extremely low-income households, documenting programs and actions needed to achieve housing availability including gaps in funding, barriers such as development regulations, and other limitations;</w:t>
      </w:r>
    </w:p>
    <w:p>
      <w:pPr>
        <w:spacing w:before="0" w:after="0" w:line="408" w:lineRule="exact"/>
        <w:ind w:left="0" w:right="0" w:firstLine="576"/>
        <w:jc w:val="left"/>
      </w:pPr>
      <w:r>
        <w:rPr>
          <w:u w:val="single"/>
        </w:rPr>
        <w:t xml:space="preserve">(e) Identifies local policies, regulations, and practices that have resulted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regulations, and practices to address and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with high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Implements antidisplacement policies, investments, and regulations to reduce displacement such as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prohibit emergency housing, permanent supportive housing, or emergency shelters in multifamily, commercial, mixed use, or form-based zones where short-term rentals are allowed.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emergency housing, permanent supportive housing, or emergency shelters in multifamily, commercial, mixed use, or form-based zones where short-term rentals are 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140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
      <w:pPr>
        <w:jc w:val="center"/>
      </w:pPr>
      <w:r>
        <w:rPr>
          <w:b/>
        </w:rPr>
        <w:t>--- END ---</w:t>
      </w:r>
    </w:p>
    <w:sectPr>
      <w:pgNumType w:start="1"/>
      <w:footerReference xmlns:r="http://schemas.openxmlformats.org/officeDocument/2006/relationships" r:id="R7c6bd285627347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38575274a4d10" /><Relationship Type="http://schemas.openxmlformats.org/officeDocument/2006/relationships/footer" Target="/word/footer1.xml" Id="R7c6bd285627347e9" /></Relationships>
</file>