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de423367e4c21" /></Relationships>
</file>

<file path=word/document.xml><?xml version="1.0" encoding="utf-8"?>
<w:document xmlns:w="http://schemas.openxmlformats.org/wordprocessingml/2006/main">
  <w:body>
    <w:p>
      <w:r>
        <w:t>H-0087.1</w:t>
      </w:r>
    </w:p>
    <w:p>
      <w:pPr>
        <w:jc w:val="center"/>
      </w:pPr>
      <w:r>
        <w:t>_______________________________________________</w:t>
      </w:r>
    </w:p>
    <w:p/>
    <w:p>
      <w:pPr>
        <w:jc w:val="center"/>
      </w:pPr>
      <w:r>
        <w:rPr>
          <w:b/>
        </w:rPr>
        <w:t>HOUSE BILL 1221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Rule, Bateman, Shewmake, Lekanoff, Senn, Santos, Thai, Ortiz-Self, Ormsby, Callan, Ramel, Riccelli, and Macri</w:t>
      </w:r>
    </w:p>
    <w:p/>
    <w:p>
      <w:r>
        <w:rPr>
          <w:t xml:space="preserve">Read first time 01/15/21.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and amending RCW 43.216.505, 13.34.030, 26.44.020, 13.34.065, and 13.34.138.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(28) "Experiencing homelessness" means lacking a fixed, regular, and adequate nighttime residence, including circumstances such as sharing the housing of other persons due to loss of housing, economic hardship, fleeing domestic violence, or a similar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0" w:after="0" w:line="408" w:lineRule="exact"/>
        <w:ind w:left="0" w:right="0" w:firstLine="576"/>
        <w:jc w:val="left"/>
      </w:pPr>
      <w:r>
        <w:rPr>
          <w:u w:val="single"/>
        </w:rPr>
        <w:t xml:space="preserve">(29) "Experiencing homelessness" means lacking a fixed, regular, and adequate nighttime residence, including circumstances such as sharing the housing of other persons due to loss of housing, economic hardship, fleeing domestic violence, or a similar reason.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w:t>
      </w:r>
      <w:r>
        <w:rPr>
          <w:u w:val="single"/>
        </w:rPr>
        <w:t xml:space="preserve">experiencing</w:t>
      </w:r>
      <w:r>
        <w:rPr/>
        <w:t xml:space="preserve">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sixty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sixty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w:t>
      </w:r>
      <w:r>
        <w:rPr>
          <w:u w:val="single"/>
        </w:rPr>
        <w:t xml:space="preserve">experiencing</w:t>
      </w:r>
      <w:r>
        <w:rPr/>
        <w:t xml:space="preserve">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w:t>
      </w:r>
      <w:r>
        <w:rPr>
          <w:u w:val="single"/>
        </w:rPr>
        <w:t xml:space="preserve">experiencing</w:t>
      </w:r>
      <w:r>
        <w:rPr/>
        <w:t xml:space="preserve">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
      <w:pPr>
        <w:jc w:val="center"/>
      </w:pPr>
      <w:r>
        <w:rPr>
          <w:b/>
        </w:rPr>
        <w:t>--- END ---</w:t>
      </w:r>
    </w:p>
    <w:sectPr>
      <w:pgNumType w:start="1"/>
      <w:footerReference xmlns:r="http://schemas.openxmlformats.org/officeDocument/2006/relationships" r:id="R50e8528dc4b74a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b77a7b71154c8e" /><Relationship Type="http://schemas.openxmlformats.org/officeDocument/2006/relationships/footer" Target="/word/footer1.xml" Id="R50e8528dc4b74afd" /></Relationships>
</file>