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681ac65894cbd" /></Relationships>
</file>

<file path=word/document.xml><?xml version="1.0" encoding="utf-8"?>
<w:document xmlns:w="http://schemas.openxmlformats.org/wordprocessingml/2006/main">
  <w:body>
    <w:p>
      <w:r>
        <w:t>H-0791.1</w:t>
      </w:r>
    </w:p>
    <w:p>
      <w:pPr>
        <w:jc w:val="center"/>
      </w:pPr>
      <w:r>
        <w:t>_______________________________________________</w:t>
      </w:r>
    </w:p>
    <w:p/>
    <w:p>
      <w:pPr>
        <w:jc w:val="center"/>
      </w:pPr>
      <w:r>
        <w:rPr>
          <w:b/>
        </w:rPr>
        <w:t>SUBSTITUTE HOUSE BILL 1236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Macri, Taylor, Dolan, Gregerson, Berry, Fitzgibbon, Frame, Simmons, Ramel, Bateman, J. Johnson, Hackney, Chopp, Thai, Peterson, Santos, Orwall, Ortiz-Self, Ryu, Wicks, Lekanoff, Slatter, Berg, Senn, Harris-Talley, Ormsby,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residential tenants from the beginning to end of their tenancies by penalizing the inclusion of unlawful lease provisions and limiting the reasons for eviction, refusal to continue, and termination; amending RCW 59.18.220 and 59.12.030; reenacting and amending RCW 59.18.030, 59.18.200, and 59.18.230; adding a new section to chapter 59.18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w:t>
      </w:r>
      <w:r>
        <w:t>((</w:t>
      </w:r>
      <w:r>
        <w:rPr>
          <w:strike/>
        </w:rPr>
        <w:t xml:space="preserve">thirty</w:t>
      </w:r>
      <w:r>
        <w:t>))</w:t>
      </w:r>
      <w:r>
        <w:rPr/>
        <w:t xml:space="preserve"> </w:t>
      </w:r>
      <w:r>
        <w:rPr>
          <w:u w:val="single"/>
        </w:rPr>
        <w:t xml:space="preserve">30</w:t>
      </w:r>
      <w:r>
        <w:rPr/>
        <w:t xml:space="preserve">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w:t>
      </w:r>
      <w:r>
        <w:t>((</w:t>
      </w:r>
      <w:r>
        <w:rPr>
          <w:strike/>
        </w:rPr>
        <w:t xml:space="preserve">thirty</w:t>
      </w:r>
      <w:r>
        <w:t>))</w:t>
      </w:r>
      <w:r>
        <w:rPr/>
        <w:t xml:space="preserve"> </w:t>
      </w:r>
      <w:r>
        <w:rPr>
          <w:u w:val="single"/>
        </w:rPr>
        <w:t xml:space="preserve">30</w:t>
      </w:r>
      <w:r>
        <w:rPr/>
        <w:t xml:space="preserve">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(37)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u w:val="single"/>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u w:val="single"/>
        </w:rPr>
        <w:t xml:space="preserve">(b) A federal housing program administered by a city or county government;</w:t>
      </w:r>
    </w:p>
    <w:p>
      <w:pPr>
        <w:spacing w:before="0" w:after="0" w:line="408" w:lineRule="exact"/>
        <w:ind w:left="0" w:right="0" w:firstLine="576"/>
        <w:jc w:val="left"/>
      </w:pPr>
      <w:r>
        <w:rPr>
          <w:u w:val="single"/>
        </w:rPr>
        <w:t xml:space="preserve">(c) An affordable housing levy authorized under RCW 84.52.105; or</w:t>
      </w:r>
    </w:p>
    <w:p>
      <w:pPr>
        <w:spacing w:before="0" w:after="0" w:line="408" w:lineRule="exact"/>
        <w:ind w:left="0" w:right="0" w:firstLine="576"/>
        <w:jc w:val="left"/>
      </w:pPr>
      <w:r>
        <w:rPr>
          <w:u w:val="single"/>
        </w:rPr>
        <w:t xml:space="preserve">(d) The surcharges authorized by RCW 36.22.178 and 36.22.179 and any of the surcharges authorized in chapter 43.185C RCW.</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evict a tenant, refuse to continue the tenancy, or terminate a periodic tenancy except for the causes enumerated in subsection (2) of this section.</w:t>
      </w:r>
    </w:p>
    <w:p>
      <w:pPr>
        <w:spacing w:before="0" w:after="0" w:line="408" w:lineRule="exact"/>
        <w:ind w:left="0" w:right="0" w:firstLine="576"/>
        <w:jc w:val="left"/>
      </w:pPr>
      <w:r>
        <w:rPr/>
        <w:t xml:space="preserve">(b) Provided that the initial term of the tenancy is for a specified time of one year, a landlord may terminate the tenancy without cause at the end of the first year of the tenancy upon 60 days' prior written notice, served in a manner consistent with RCW 59.12.040. If a landlord does not give 60 days' notice as provided in this subsection, the tenancy becomes a monthly periodic tenancy until further agreement of the landlord and tenant, which can only be terminated for the reasons listed as cause enumerated in subsection (2) of this section.</w:t>
      </w:r>
    </w:p>
    <w:p>
      <w:pPr>
        <w:spacing w:before="0" w:after="0" w:line="408" w:lineRule="exact"/>
        <w:ind w:left="0" w:right="0" w:firstLine="576"/>
        <w:jc w:val="left"/>
      </w:pPr>
      <w:r>
        <w:rPr/>
        <w:t xml:space="preserve">(c) Except as provided in (b) of this subsection, a landlord may not terminate a tenancy for a specified time except for the causes enumerated in subsection (2) of this section. Upon the end date of the specified time, the tenancy becomes a monthly periodic tenancy. Nothing prohibits a landlord and tenant from entering into subsequent lease agreements that are in compliance with the termination requirements in subsection (2) of this section.</w:t>
      </w:r>
    </w:p>
    <w:p>
      <w:pPr>
        <w:spacing w:before="0" w:after="0" w:line="408" w:lineRule="exact"/>
        <w:ind w:left="0" w:right="0" w:firstLine="576"/>
        <w:jc w:val="left"/>
      </w:pPr>
      <w:r>
        <w:rPr/>
        <w:t xml:space="preserve">(d) A tenant may terminate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and no others, constitute cause:</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 provided the unpaid rent did not accrue between March 1, 2020, and the end of a declared federal or state public health emergency related to the COVID-19 pandemic. If the tenant accrues unpaid rent between March 1, 2020, and the end of a declared federal or state public health emergency related to the COVID-19 pandemic, the landlord shall have offered a reasonable schedule for the repayment of unpaid rent that does not exceed monthly payments equal to one-third of the monthly rental charges during the period of accrued debt. If a tenant fails to accept the terms of a reasonable repayment plan within 14 days of the landlord's offer or defaults on any rent owed under a repayment plan, the landlord may proceed with an unlawful detainer action as set forth in RCW 59.12.030(3). The court shall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terminate, and the breach has not been adequately remedied by the date specified in the notice, which date shall be at least 10 days after service of the notice;</w:t>
      </w:r>
    </w:p>
    <w:p>
      <w:pPr>
        <w:spacing w:before="0" w:after="0" w:line="408" w:lineRule="exact"/>
        <w:ind w:left="0" w:right="0" w:firstLine="576"/>
        <w:jc w:val="left"/>
      </w:pPr>
      <w:r>
        <w:rPr/>
        <w:t xml:space="preserve">(c) The tenant continues in possession after having received at least three days'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given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of termination using this subsection (2)(d) as the cause for termination;</w:t>
      </w:r>
    </w:p>
    <w:p>
      <w:pPr>
        <w:spacing w:before="0" w:after="0" w:line="408" w:lineRule="exact"/>
        <w:ind w:left="0" w:right="0" w:firstLine="576"/>
        <w:jc w:val="left"/>
      </w:pPr>
      <w:r>
        <w:rPr/>
        <w:t xml:space="preserve">(e) The tenant continues in possession after the landlord elects to sell a single family residence and the landlord has given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rents the unit to someone other than the former tenant, or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served 30 days' advance written notice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30 days' advance written notice, the landlord shall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 20-day notice to quit or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 30-day notice to vacate in advance of the expiration of the program, the tenant has aged out of the program, or the tenant has completed an educational or training or service program and is no longer eligible to participate. Nothing in this subsection (2)(j) shall be construed to prohibit the termination of a tenancy in transitional housing for any of the other causes specified in this subsection;</w:t>
      </w:r>
    </w:p>
    <w:p>
      <w:pPr>
        <w:spacing w:before="0" w:after="0" w:line="408" w:lineRule="exact"/>
        <w:ind w:left="0" w:right="0" w:firstLine="576"/>
        <w:jc w:val="left"/>
      </w:pPr>
      <w:r>
        <w:rPr/>
        <w:t xml:space="preserve">(k) In cases where the tenant resides in subsidized housing, the tenant continues in possession after the expiration of a rental agreement without signing a proposed new rental agreement proffered by the landlord; provided, that the landlord proffered the proposed new rental agreement at least 30 days and no more than 90 days prior to the expiration of the current rental agreement and that any new terms and conditions of the proposed new rental agreement are reasonable. This subsection (2)(k) shall not apply to tenants whose tenancies are or have become periodic;</w:t>
      </w:r>
    </w:p>
    <w:p>
      <w:pPr>
        <w:spacing w:before="0" w:after="0" w:line="408" w:lineRule="exact"/>
        <w:ind w:left="0" w:right="0" w:firstLine="576"/>
        <w:jc w:val="left"/>
      </w:pPr>
      <w:r>
        <w:rPr/>
        <w:t xml:space="preserve">(l)(i) The tenant continues in possession after having received a 30-day notice to quit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 Except as provided in (l)(ii) of this subsection, the 30-day notice must be served on the tenant within the first 60 days of the initiation of the tenancy;</w:t>
      </w:r>
    </w:p>
    <w:p>
      <w:pPr>
        <w:spacing w:before="0" w:after="0" w:line="408" w:lineRule="exact"/>
        <w:ind w:left="0" w:right="0" w:firstLine="576"/>
        <w:jc w:val="left"/>
      </w:pPr>
      <w:r>
        <w:rPr/>
        <w:t xml:space="preserve">(ii) The landlord may seek termination under this subsection (2)(l) at any time during the tenancy if the misrepresentation makes the tenant ineligible for subsidized housing as defined in this chapter.</w:t>
      </w:r>
    </w:p>
    <w:p>
      <w:pPr>
        <w:spacing w:before="0" w:after="0" w:line="408" w:lineRule="exact"/>
        <w:ind w:left="0" w:right="0" w:firstLine="576"/>
        <w:jc w:val="left"/>
      </w:pPr>
      <w:r>
        <w:rPr/>
        <w:t xml:space="preserve">(3)(a) Where a tenant has permanently vacated due to voluntary or involuntary events, other than by termination by the landlord, any remaining occupants who had coresided with the tenant prior to and up to the time the tenant permanently vacated must immediately apply or reapply as a prospective tenant in order to continue to reside in the dwelling unit and must meet the same screening, background, and financial criteria as would any other prospective tenant in order to continue the tenancy on the same terms and conditions as the vacating tenant. In the event that the occupant fails to apply within 90 days of when the primary tenant vacates or the application is denied for failure to meet the criteria, the landlord may commence an unlawful detainer action under this chapter. Where an occupant succeeds to the tenancy pursuant to this subsection (3)(a), a landlord may not terminate the tenancy except as provided under subsection (2) of this section.</w:t>
      </w:r>
    </w:p>
    <w:p>
      <w:pPr>
        <w:spacing w:before="0" w:after="0" w:line="408" w:lineRule="exact"/>
        <w:ind w:left="0" w:right="0" w:firstLine="576"/>
        <w:jc w:val="left"/>
      </w:pPr>
      <w:r>
        <w:rPr/>
        <w:t xml:space="preserve">(b) This subsection (3)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four and one-half times the monthly rent of the dwelling at issue, and reasonable attorneys' fees and costs.</w:t>
      </w:r>
    </w:p>
    <w:p>
      <w:pPr>
        <w:spacing w:before="0" w:after="0" w:line="408" w:lineRule="exact"/>
        <w:ind w:left="0" w:right="0" w:firstLine="576"/>
        <w:jc w:val="left"/>
      </w:pPr>
      <w:r>
        <w:rPr/>
        <w:t xml:space="preserve">(5) Nothing in subsection (2)(d), (e), or (f) of this section permits a landlord to terminate a term tenancy for a specified time before the completion of the term unless the landlord and the tenant mutually consent, in writing, to early termination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shall be allowed to present additional facts and circumstances regarding the allegations within the notice where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w:t>
      </w:r>
      <w:r>
        <w:t>((</w:t>
      </w:r>
      <w:r>
        <w:rPr>
          <w:strike/>
        </w:rPr>
        <w:t xml:space="preserve">twenty</w:t>
      </w:r>
      <w:r>
        <w:t>))</w:t>
      </w:r>
      <w:r>
        <w:rPr/>
        <w:t xml:space="preserve"> </w:t>
      </w:r>
      <w:r>
        <w:rPr>
          <w:u w:val="single"/>
        </w:rPr>
        <w:t xml:space="preserve">20</w:t>
      </w:r>
      <w:r>
        <w:rPr/>
        <w:t xml:space="preserve">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twenty</w:t>
      </w:r>
      <w:r>
        <w:t>))</w:t>
      </w:r>
      <w:r>
        <w:rPr/>
        <w:t xml:space="preserve"> </w:t>
      </w:r>
      <w:r>
        <w:rPr>
          <w:u w:val="single"/>
        </w:rPr>
        <w:t xml:space="preserve">20</w:t>
      </w:r>
      <w:r>
        <w:rPr/>
        <w:t xml:space="preserve"> days' written notice if the tenant receives permanent change of station or deployment orders that do not allow a </w:t>
      </w:r>
      <w:r>
        <w:t>((</w:t>
      </w:r>
      <w:r>
        <w:rPr>
          <w:strike/>
        </w:rPr>
        <w:t xml:space="preserve">twenty</w:t>
      </w:r>
      <w:r>
        <w:t>))</w:t>
      </w:r>
      <w:r>
        <w:rPr/>
        <w:t xml:space="preserve"> </w:t>
      </w:r>
      <w:r>
        <w:rPr>
          <w:u w:val="single"/>
        </w:rPr>
        <w:t xml:space="preserve">20</w:t>
      </w:r>
      <w:r>
        <w:rPr/>
        <w:t xml:space="preserve">-day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w:t>
      </w:r>
      <w:r>
        <w:t>((</w:t>
      </w:r>
      <w:r>
        <w:rPr>
          <w:strike/>
        </w:rPr>
        <w:t xml:space="preserve">ninety</w:t>
      </w:r>
      <w:r>
        <w:t>))</w:t>
      </w:r>
      <w:r>
        <w:rPr/>
        <w:t xml:space="preserve"> </w:t>
      </w:r>
      <w:r>
        <w:rPr>
          <w:u w:val="single"/>
        </w:rPr>
        <w:t xml:space="preserve">90</w:t>
      </w:r>
      <w:r>
        <w:rPr/>
        <w:t xml:space="preserve"> days before termination of the tenancy to effectuate such change in policy. Such </w:t>
      </w:r>
      <w:r>
        <w:t>((</w:t>
      </w:r>
      <w:r>
        <w:rPr>
          <w:strike/>
        </w:rPr>
        <w:t xml:space="preserve">ninety</w:t>
      </w:r>
      <w:r>
        <w:t>))</w:t>
      </w:r>
      <w:r>
        <w:rPr/>
        <w:t xml:space="preserve"> </w:t>
      </w:r>
      <w:r>
        <w:rPr>
          <w:u w:val="single"/>
        </w:rPr>
        <w:t xml:space="preserve">90</w:t>
      </w:r>
      <w:r>
        <w:rPr/>
        <w:t xml:space="preserve">-day notice shall be in lieu of the notice required by subsection (1) of this section. However, if after giving the </w:t>
      </w:r>
      <w:r>
        <w:t>((</w:t>
      </w:r>
      <w:r>
        <w:rPr>
          <w:strike/>
        </w:rPr>
        <w:t xml:space="preserve">ninety</w:t>
      </w:r>
      <w:r>
        <w:t>))</w:t>
      </w:r>
      <w:r>
        <w:rPr/>
        <w:t xml:space="preserve"> </w:t>
      </w:r>
      <w:r>
        <w:rPr>
          <w:u w:val="single"/>
        </w:rPr>
        <w:t xml:space="preserve">90</w:t>
      </w:r>
      <w:r>
        <w:rPr/>
        <w:t xml:space="preserve">-day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in compliance with RCW 64.34.440(1), to effectuate such change. The </w:t>
      </w:r>
      <w:r>
        <w:t>((</w:t>
      </w:r>
      <w:r>
        <w:rPr>
          <w:strike/>
        </w:rPr>
        <w:t xml:space="preserve">one hundred twenty-day</w:t>
      </w:r>
      <w:r>
        <w:t>))</w:t>
      </w:r>
      <w:r>
        <w:rPr/>
        <w:t xml:space="preserve"> </w:t>
      </w:r>
      <w:r>
        <w:rPr>
          <w:u w:val="single"/>
        </w:rPr>
        <w:t xml:space="preserve">120-day</w:t>
      </w:r>
      <w:r>
        <w:rPr/>
        <w:t xml:space="preserve"> notice is in lieu of the notice required in subsection (1) of this section. However, if after providing the </w:t>
      </w:r>
      <w:r>
        <w:t>((</w:t>
      </w:r>
      <w:r>
        <w:rPr>
          <w:strike/>
        </w:rPr>
        <w:t xml:space="preserve">one hundred twenty-day</w:t>
      </w:r>
      <w:r>
        <w:t>))</w:t>
      </w:r>
      <w:r>
        <w:rPr/>
        <w:t xml:space="preserve"> </w:t>
      </w:r>
      <w:r>
        <w:rPr>
          <w:u w:val="single"/>
        </w:rPr>
        <w:t xml:space="preserve">120-day</w:t>
      </w:r>
      <w:r>
        <w:rPr/>
        <w:t xml:space="preserve">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This subsection (2)(c)(i) does not apply to jurisdictions that have created a relocation assistance program under RCW 59.18.440 and otherwise provide </w:t>
      </w:r>
      <w:r>
        <w:t>((</w:t>
      </w:r>
      <w:r>
        <w:rPr>
          <w:strike/>
        </w:rPr>
        <w:t xml:space="preserve">one hundred twenty</w:t>
      </w:r>
      <w:r>
        <w:t>))</w:t>
      </w:r>
      <w:r>
        <w:rPr/>
        <w:t xml:space="preserve"> </w:t>
      </w:r>
      <w:r>
        <w:rPr>
          <w:u w:val="single"/>
        </w:rPr>
        <w:t xml:space="preserve">120</w:t>
      </w:r>
      <w:r>
        <w:rPr/>
        <w:t xml:space="preserve">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t xml:space="preserve">(3) A person in violation of subsection (2)(c)(i) of this section may be held liable in a civil action up to three times the monthly rent of the real property at issue. The prevailing </w:t>
      </w:r>
      <w:r>
        <w:t>((</w:t>
      </w:r>
      <w:r>
        <w:rPr>
          <w:strike/>
        </w:rPr>
        <w:t xml:space="preserve">party</w:t>
      </w:r>
      <w:r>
        <w:t>))</w:t>
      </w:r>
      <w:r>
        <w:rPr/>
        <w:t xml:space="preserve"> </w:t>
      </w:r>
      <w:r>
        <w:rPr>
          <w:u w:val="single"/>
        </w:rPr>
        <w:t xml:space="preserve">tenant</w:t>
      </w:r>
      <w:r>
        <w:rPr/>
        <w:t xml:space="preserve"> may also recover court costs and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rPr/>
        <w:t xml:space="preserve">(1) </w:t>
      </w:r>
      <w:r>
        <w:t>((</w:t>
      </w:r>
      <w:r>
        <w:rPr>
          <w:strike/>
        </w:rPr>
        <w:t xml:space="preserve">In all</w:t>
      </w:r>
      <w:r>
        <w:t>))</w:t>
      </w:r>
      <w:r>
        <w:rPr/>
        <w:t xml:space="preserve"> </w:t>
      </w:r>
      <w:r>
        <w:rPr>
          <w:u w:val="single"/>
        </w:rPr>
        <w:t xml:space="preserve">Except as limited by section 2 of this act, in</w:t>
      </w:r>
      <w:r>
        <w:rPr/>
        <w:t xml:space="preserve"> cases where premises are rented for a specified time, by express or implied contract, the tenancy shall be deemed terminated at the end of such specified time </w:t>
      </w:r>
      <w:r>
        <w:rPr>
          <w:u w:val="single"/>
        </w:rPr>
        <w:t xml:space="preserve">upon notice consistent with section 2 of this act, served in a manner consistent with RCW 59.12.040</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permanent change of station or deployment orders. Before terminating the tenancy, the tenant, or that tenant's spouse or dependent, shall provide written notice of </w:t>
      </w:r>
      <w:r>
        <w:t>((</w:t>
      </w:r>
      <w:r>
        <w:rPr>
          <w:strike/>
        </w:rPr>
        <w:t xml:space="preserve">twenty</w:t>
      </w:r>
      <w:r>
        <w:t>))</w:t>
      </w:r>
      <w:r>
        <w:rPr/>
        <w:t xml:space="preserve"> </w:t>
      </w:r>
      <w:r>
        <w:rPr>
          <w:u w:val="single"/>
        </w:rPr>
        <w:t xml:space="preserve">20</w:t>
      </w:r>
      <w:r>
        <w:rPr/>
        <w:t xml:space="preserve">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(a) The service member is required, pursuant to a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(b) The service member is prematurely or involuntarily discharged or released from active duty;</w:t>
      </w:r>
    </w:p>
    <w:p>
      <w:pPr>
        <w:spacing w:before="0" w:after="0" w:line="408" w:lineRule="exact"/>
        <w:ind w:left="0" w:right="0" w:firstLine="576"/>
        <w:jc w:val="left"/>
      </w:pPr>
      <w:r>
        <w:rPr/>
        <w:t xml:space="preserve">(c)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t xml:space="preserve">(e) The service member receives temporary duty orders, temporary change of station orders, or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(f)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w:t>
      </w:r>
      <w:r>
        <w:t>((</w:t>
      </w:r>
      <w:r>
        <w:rPr>
          <w:strike/>
        </w:rPr>
        <w:t xml:space="preserve">deliberately</w:t>
      </w:r>
      <w:r>
        <w:t>))</w:t>
      </w:r>
      <w:r>
        <w:rPr/>
        <w:t xml:space="preserve"> </w:t>
      </w:r>
      <w:r>
        <w:rPr>
          <w:u w:val="single"/>
        </w:rPr>
        <w:t xml:space="preserve">knowingly</w:t>
      </w:r>
      <w:r>
        <w:rPr/>
        <w:t xml:space="preserve">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two times the monthly rent charged for the unit</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by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w:t>
      </w:r>
      <w:r>
        <w:t>((</w:t>
      </w:r>
      <w:r>
        <w:rPr>
          <w:strike/>
        </w:rPr>
        <w:t xml:space="preserve">twenty</w:t>
      </w:r>
      <w:r>
        <w:t>))</w:t>
      </w:r>
      <w:r>
        <w:rPr/>
        <w:t xml:space="preserve"> </w:t>
      </w:r>
      <w:r>
        <w:rPr>
          <w:u w:val="single"/>
        </w:rPr>
        <w:t xml:space="preserve">20</w:t>
      </w:r>
      <w:r>
        <w:rPr/>
        <w:t xml:space="preserve">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w:t>
      </w:r>
      <w:r>
        <w:t>((</w:t>
      </w:r>
      <w:r>
        <w:rPr>
          <w:strike/>
        </w:rPr>
        <w:t xml:space="preserve">fourteen</w:t>
      </w:r>
      <w:r>
        <w:t>))</w:t>
      </w:r>
      <w:r>
        <w:rPr/>
        <w:t xml:space="preserve"> </w:t>
      </w:r>
      <w:r>
        <w:rPr>
          <w:u w:val="single"/>
        </w:rPr>
        <w:t xml:space="preserve">14</w:t>
      </w:r>
      <w:r>
        <w:rPr/>
        <w:t xml:space="preserve">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w:t>
      </w:r>
      <w:r>
        <w:t>((</w:t>
      </w:r>
      <w:r>
        <w:rPr>
          <w:strike/>
        </w:rPr>
        <w:t xml:space="preserve">ten</w:t>
      </w:r>
      <w:r>
        <w:t>))</w:t>
      </w:r>
      <w:r>
        <w:rPr/>
        <w:t xml:space="preserve"> </w:t>
      </w:r>
      <w:r>
        <w:rPr>
          <w:u w:val="single"/>
        </w:rPr>
        <w:t xml:space="preserve">10</w:t>
      </w:r>
      <w:r>
        <w:rPr/>
        <w:t xml:space="preserve"> days after service thereof. Within </w:t>
      </w:r>
      <w:r>
        <w:t>((</w:t>
      </w:r>
      <w:r>
        <w:rPr>
          <w:strike/>
        </w:rPr>
        <w:t xml:space="preserve">ten</w:t>
      </w:r>
      <w:r>
        <w:t>))</w:t>
      </w:r>
      <w:r>
        <w:rPr/>
        <w:t xml:space="preserve"> </w:t>
      </w:r>
      <w:r>
        <w:rPr>
          <w:u w:val="single"/>
        </w:rPr>
        <w:t xml:space="preserve">10</w:t>
      </w:r>
      <w:r>
        <w:rPr/>
        <w:t xml:space="preserve">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226c565736740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74647da6f491e" /><Relationship Type="http://schemas.openxmlformats.org/officeDocument/2006/relationships/footer" Target="/word/footer1.xml" Id="Rc226c5657367403b" /></Relationships>
</file>