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f4653272f4618" /></Relationships>
</file>

<file path=word/document.xml><?xml version="1.0" encoding="utf-8"?>
<w:document xmlns:w="http://schemas.openxmlformats.org/wordprocessingml/2006/main">
  <w:body>
    <w:p>
      <w:r>
        <w:t>Z-0215.1</w:t>
      </w:r>
    </w:p>
    <w:p>
      <w:pPr>
        <w:jc w:val="center"/>
      </w:pPr>
      <w:r>
        <w:t>_______________________________________________</w:t>
      </w:r>
    </w:p>
    <w:p/>
    <w:p>
      <w:pPr>
        <w:jc w:val="center"/>
      </w:pPr>
      <w:r>
        <w:rPr>
          <w:b/>
        </w:rPr>
        <w:t>HOUSE BILL 1275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Schmick, Macri, Shewmake, Eslick, Hackney, Chambers, Rule, Leavitt, Harris-Talley, and Stonier; by request of Department of Social and Health Services</w:t>
      </w:r>
    </w:p>
    <w:p/>
    <w:p>
      <w:r>
        <w:rPr>
          <w:t xml:space="preserve">Read first time 01/19/21.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medicaid rate rebasing, inflation, and case mix; and amending RCW 74.46.485, 74.46.501, and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the department may revise or update the </w:t>
      </w:r>
      <w:r>
        <w:t>((</w:t>
      </w:r>
      <w:r>
        <w:rPr>
          <w:strike/>
        </w:rPr>
        <w:t xml:space="preserve">classification</w:t>
      </w:r>
      <w:r>
        <w:t>))</w:t>
      </w:r>
      <w:r>
        <w:rPr/>
        <w:t xml:space="preserve"> methodology </w:t>
      </w:r>
      <w:r>
        <w:rPr>
          <w:u w:val="single"/>
        </w:rPr>
        <w:t xml:space="preserve">used to establish case mix classification</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r>
        <w:t>))</w:t>
      </w:r>
      <w:r>
        <w:rPr/>
        <w:t xml:space="preserve"> </w:t>
      </w:r>
      <w:r>
        <w:rPr>
          <w:u w:val="single"/>
        </w:rPr>
        <w:t xml:space="preserve">The department shall establish a methodology to use the case mix to set the direct care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strik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Beginning in fiscal year 2022, direct and indirect care rates shall be rebased every year. For example, direct and indirect care rates paid in fiscal year 2022 shall be rebased using the calendar year 2019 cost reports. Beginning July 1, 2021, the calendar year costs must be adjusted annually on July 1st for inflation by a 24-month consumer price index, based on the most recently available monthly index at the time of rate calculation for all urban consumers, as published by the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240b4ae1a18a49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6ed135a064028" /><Relationship Type="http://schemas.openxmlformats.org/officeDocument/2006/relationships/footer" Target="/word/footer1.xml" Id="R240b4ae1a18a49f1" /></Relationships>
</file>