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e92d2a15942ac" /></Relationships>
</file>

<file path=word/document.xml><?xml version="1.0" encoding="utf-8"?>
<w:document xmlns:w="http://schemas.openxmlformats.org/wordprocessingml/2006/main">
  <w:body>
    <w:p>
      <w:r>
        <w:t>H-0863.3</w:t>
      </w:r>
    </w:p>
    <w:p>
      <w:pPr>
        <w:jc w:val="center"/>
      </w:pPr>
      <w:r>
        <w:t>_______________________________________________</w:t>
      </w:r>
    </w:p>
    <w:p/>
    <w:p>
      <w:pPr>
        <w:jc w:val="center"/>
      </w:pPr>
      <w:r>
        <w:rPr>
          <w:b/>
        </w:rPr>
        <w:t>SUBSTITUTE HOUSE BILL 1332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Sullivan, Ramel, Leavitt, Dufault, Hackney, Wylie, Santos, Ortiz-Self, Ormsby, Rule, Stokesbary, Callan, Pollet,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deferral during the COVID-19 pandemic; amending RCW 84.56.020;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 Due to the state of emergency declared under RCW 43.06.010(12) related to the novel coronavirus, the county treasurer shall grant an extension of the due date of any taxes payable in 2021 under this section as provided in this subsection (10)(b).</w:t>
      </w:r>
      <w:r>
        <w:rPr>
          <w:u w:val="single"/>
        </w:rPr>
        <w:t xml:space="preserve"> Beginning with tax payments due in April 2021, if the owner of any lot, block, or tract of real property used for business purposes demonstrates a loss of at least 25 percent of revenue for calendar year 2020 compared to calendar year 2019 via an application provided in a form and manner by the department, the county treasurer shall grant a deferral of taxes due in 2021 via the establishment of a payment plan. No penalties or interest will be applied to the taxes due under the payment plan. The county treasurer may determine the payment schedule and other terms of the payment plan.</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e5cb3083b0e40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8c2bfcd5cd4393" /><Relationship Type="http://schemas.openxmlformats.org/officeDocument/2006/relationships/footer" Target="/word/footer1.xml" Id="Ree5cb3083b0e40be" /></Relationships>
</file>