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c0c233af94bdd" /></Relationships>
</file>

<file path=word/document.xml><?xml version="1.0" encoding="utf-8"?>
<w:document xmlns:w="http://schemas.openxmlformats.org/wordprocessingml/2006/main">
  <w:body>
    <w:p>
      <w:r>
        <w:t>H-0476.2</w:t>
      </w:r>
    </w:p>
    <w:p>
      <w:pPr>
        <w:jc w:val="center"/>
      </w:pPr>
      <w:r>
        <w:t>_______________________________________________</w:t>
      </w:r>
    </w:p>
    <w:p/>
    <w:p>
      <w:pPr>
        <w:jc w:val="center"/>
      </w:pPr>
      <w:r>
        <w:rPr>
          <w:b/>
        </w:rPr>
        <w:t>HOUSE BILL 1368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Macri, Ramos, Callan, Gregerson, Berry, Sullivan, Leavitt, Duerr, Bergquist, Kloba, Riccelli, Ramel, Harris-Talley, and Pollet</w:t>
      </w:r>
    </w:p>
    <w:p/>
    <w:p>
      <w:r>
        <w:rPr>
          <w:t xml:space="preserve">Read first time 01/25/21.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$120,000,000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$120,000,000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Grants must be awarded on a first-come, first-serve basis. The department may not impose other eligibility criteria or use other factors to prioritize grants except priority must be given to businesses that have not yet received a grant through the department's working Washington small business grants. The department must allow businesses to apply for grants for 30 days after the effective date of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$20,000 grant.</w:t>
      </w:r>
    </w:p>
    <w:p>
      <w:pPr>
        <w:spacing w:before="0" w:after="0" w:line="408" w:lineRule="exact"/>
        <w:ind w:left="0" w:right="0" w:firstLine="576"/>
        <w:jc w:val="left"/>
      </w:pPr>
      <w:r>
        <w:rPr/>
        <w:t xml:space="preserve">(b) When awarding grants, the department must first provide all eligible businesses that received a grant less than $12,500 an additional grant without requiring a new application so that total grants awarded is $12,500. Thereafter, new eligible businesses under subsection (2) of this section must receive a $12,500 grant. If there is available funding, the department must make additional pro rata grants to all eligible businesses under subsection (2) of this section without requiring a new application up to a total of $20,000.</w:t>
      </w:r>
    </w:p>
    <w:p>
      <w:pPr>
        <w:spacing w:before="0" w:after="0" w:line="408" w:lineRule="exact"/>
        <w:ind w:left="0" w:right="0" w:firstLine="576"/>
        <w:jc w:val="left"/>
      </w:pPr>
      <w:r>
        <w:rPr/>
        <w:t xml:space="preserve">(c) If a business received one or more working Washington small business grants, the grant under this program must be reduced to reflect the amounts received from previous working Washington small business grants.</w:t>
      </w:r>
    </w:p>
    <w:p>
      <w:pPr>
        <w:spacing w:before="0" w:after="0" w:line="408" w:lineRule="exact"/>
        <w:ind w:left="0" w:right="0" w:firstLine="576"/>
        <w:jc w:val="left"/>
      </w:pPr>
      <w:r>
        <w:rPr/>
        <w:t xml:space="preserve">(d) Grants awarded under subsection (3) of this section must require eligible businesses to enter into an agreement with the department to be reimbursed for reopening costs and demonstrate that the business has reopened and resumed operations. The department must provide 25 percent of the grant in advance. Eligible businesses must be given until June 1, 2021, to request reimbursement. If an eligible business does not use all of its award by June 1, 2021, the amount not used must be redistributed pro rata to other eligible businesses under subsection (3) of this section up to a total of $20,000 in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must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must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centers,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centers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centers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6e9d1fad644d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14206473848c3" /><Relationship Type="http://schemas.openxmlformats.org/officeDocument/2006/relationships/footer" Target="/word/footer1.xml" Id="R2a6e9d1fad644d99" /></Relationships>
</file>