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14dc45901245c3" /></Relationships>
</file>

<file path=word/document.xml><?xml version="1.0" encoding="utf-8"?>
<w:document xmlns:w="http://schemas.openxmlformats.org/wordprocessingml/2006/main">
  <w:body>
    <w:p>
      <w:r>
        <w:t>H-0644.2</w:t>
      </w:r>
    </w:p>
    <w:p>
      <w:pPr>
        <w:jc w:val="center"/>
      </w:pPr>
      <w:r>
        <w:t>_______________________________________________</w:t>
      </w:r>
    </w:p>
    <w:p/>
    <w:p>
      <w:pPr>
        <w:jc w:val="center"/>
      </w:pPr>
      <w:r>
        <w:rPr>
          <w:b/>
        </w:rPr>
        <w:t>HOUSE BILL 1458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Duerr, Ryu, Frame, and Hackney</w:t>
      </w:r>
    </w:p>
    <w:p/>
    <w:p>
      <w:r>
        <w:rPr>
          <w:t xml:space="preserve">Read first time 02/02/21.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growth management act for adaptive planning, affordable housing, and tribal consultation; and amending RCW 36.70A.030, 36.70A.040, 36.70A.080, 36.70A.106, 36.70A.110, 36.70A.190, and 36.70A.210.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w:t>
      </w:r>
      <w:r>
        <w:rPr>
          <w:u w:val="single"/>
        </w:rPr>
        <w:t xml:space="preserve">"Tribe" or "tribal government" means a federally recognized Indian tribe whose reservation is located within the exterior boundaries of the state of Washington.</w:t>
      </w:r>
    </w:p>
    <w:p>
      <w:pPr>
        <w:spacing w:before="0" w:after="0" w:line="408" w:lineRule="exact"/>
        <w:ind w:left="0" w:right="0" w:firstLine="576"/>
        <w:jc w:val="left"/>
      </w:pPr>
      <w:r>
        <w:rPr>
          <w:u w:val="single"/>
        </w:rPr>
        <w:t xml:space="preserve">(25)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An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w:t>
      </w:r>
    </w:p>
    <w:p>
      <w:pPr>
        <w:spacing w:before="0" w:after="0" w:line="408" w:lineRule="exact"/>
        <w:ind w:left="0" w:right="0" w:firstLine="576"/>
        <w:jc w:val="left"/>
      </w:pPr>
      <w:r>
        <w:rPr>
          <w:u w:val="single"/>
        </w:rPr>
        <w:t xml:space="preserve">(a) Upon receipt of notice in the form of a tribal resolution from a tribe whose reservation or ceded lands lie within the county, which indicates the tribe has a planning process or intends to initiate a parallel planning process, the county, cities and other local governments conducting the planning under this chapter shall enter into an agreement with such tribes in regard to coordination, cooperation, and participation in the planning process.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Port container elements. When including port container elements, a city shall collaborate with the federally recognized Indian tribe whose reservation is located within or adjacent to the lands subject to the port container element</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Tribes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an Indian tribe has voluntarily chosen to participate in the planning process pursuant to RCW 36.70A.040, the county and the tribe shall coordinate their planning efforts for any areas planned for urban growth.</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A federally recognized Indian tribe whose reservation is located within the boundaries of Washington state may formally request the department to enter into formal government-to-government consultation with the tribe regarding the tribe's concerns that the proposed plan or any amendment to the county's plan may directly or indirectly injure rights reserved to the tribe under treaties, statutes, or federal trust obligations regarding lands or activities within the reservation of such tribe or rights reserved to the tribe in regard to lands ceded under a treaty. The department shall include in comments to the county during the comment period a summary and supporting materials regarding the tribe's concerns and an offer to assist in providing formal mediation or dispute resolution prior to adoption of the proposed plan. If the department receives formal notice of a tribe's objections to a county's adopted plan or amendment within 30 days of the department receiving notice of final adoption pursuant to RCW 37.70A.106(2), the department shall enter into formal government-to-government consultation with the tribe for a period of 60 days. If the department determines that tribal rights under relevant treaties, statutes, or trust responsibilities will be diminished or violated, the department shall notify the county. Upon receipt of such notice, the county may either agree to amend the plan as requested consistent with the comments of the department, or enter mediation with the tribe, which shall be arranged by the department utilizing a suitable expert to be paid by the department. If a county does not amend the plan or enter into mediation in good faith, the department may disapprove the relevant provisions of the county's plan and withhold grant funds as otherwise provided by this chapter. A county may appeal such disapproval to the growth management hearings board.</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w:t>
      </w:r>
      <w:r>
        <w:t>((</w:t>
      </w:r>
      <w:r>
        <w:rPr>
          <w:strike/>
        </w:rPr>
        <w:t xml:space="preserve">may</w:t>
      </w:r>
      <w:r>
        <w:t>))</w:t>
      </w:r>
      <w:r>
        <w:rPr/>
        <w:t xml:space="preserve"> </w:t>
      </w:r>
      <w:r>
        <w:rPr>
          <w:u w:val="single"/>
        </w:rPr>
        <w:t xml:space="preserve">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7e0623ed6196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f27dc258a4649" /><Relationship Type="http://schemas.openxmlformats.org/officeDocument/2006/relationships/footer" Target="/word/footer1.xml" Id="R7e0623ed61964ced" /></Relationships>
</file>