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9ef2318e874367" /></Relationships>
</file>

<file path=word/document.xml><?xml version="1.0" encoding="utf-8"?>
<w:document xmlns:w="http://schemas.openxmlformats.org/wordprocessingml/2006/main">
  <w:body>
    <w:p>
      <w:r>
        <w:t>H-0492.1</w:t>
      </w:r>
    </w:p>
    <w:p>
      <w:pPr>
        <w:jc w:val="center"/>
      </w:pPr>
      <w:r>
        <w:t>_______________________________________________</w:t>
      </w:r>
    </w:p>
    <w:p/>
    <w:p>
      <w:pPr>
        <w:jc w:val="center"/>
      </w:pPr>
      <w:r>
        <w:rPr>
          <w:b/>
        </w:rPr>
        <w:t>HOUSE BILL 1500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Sullivan, Ortiz-Self, and Pollet</w:t>
      </w:r>
    </w:p>
    <w:p/>
    <w:p>
      <w:r>
        <w:rPr>
          <w:t xml:space="preserve">Read first time 02/05/21.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regular financial audits of school districts; amending RCW 43.09.2856; reenacting and amending RCW 43.09.2856;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enrichment levy process has built-in safeguards that prevent the improper expenditure of enrichment funds before they can occur. These safeguards include district submission of enrichment levy plans and review and approval by the office of the superintendent of public instruction. Before the proposed levy is submitted to voters, the office of the superintendent of public instruction must first approve the maximum dollar collection amounts and must mandate that the levy collections are deposited in a separate fund. Changes to the proposed use of enrichment funds must be approved by the office of the superintendent of public instruction, be discussed by the elected school district board of directors in open public meetings, and approved by a vote of the school board. In addition to these safeguards that are implemented at the beginning of the process and the mandatory tracking and accounting procedures that apply to the use of the funds, the state auditor performs regular financial audits of all school district local revenues, including enrichment levy spending plans. These necessary and multiple safeguards prevent and address improper expenditures within the system that has been created to support the appropriate use of enrichment levies.</w:t>
      </w:r>
    </w:p>
    <w:p>
      <w:pPr>
        <w:spacing w:before="0" w:after="0" w:line="408" w:lineRule="exact"/>
        <w:ind w:left="0" w:right="0" w:firstLine="576"/>
        <w:jc w:val="left"/>
      </w:pPr>
      <w:r>
        <w:rPr/>
        <w:t xml:space="preserve">The legislature further finds that a punitive, backward-looking system would undermine programming decisions made in good faith and could result in funding cuts to vital education programs that serve current K-12 students. The legislature finds that such processes are at odds with the goals for the enrichment levies.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2019 c 410 s 4 and 2019 c 387 s 5 are each reenacted and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The audit must also include a review of the expenditure schedule and supporting documentation required by RCW 28A.320.330(1)(c).</w:t>
      </w:r>
    </w:p>
    <w:p>
      <w:pPr>
        <w:spacing w:before="0" w:after="0" w:line="408" w:lineRule="exact"/>
        <w:ind w:left="0" w:right="0" w:firstLine="576"/>
        <w:jc w:val="left"/>
      </w:pPr>
      <w:r>
        <w:rPr/>
        <w:t xml:space="preserve">(2) </w:t>
      </w:r>
      <w:r>
        <w:t>((</w:t>
      </w:r>
      <w:r>
        <w:rPr>
          <w:strike/>
        </w:rPr>
        <w:t xml:space="preserve">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strike/>
        </w:rPr>
        <w:t xml:space="preserve">(3)</w:t>
      </w:r>
      <w:r>
        <w:t>))</w:t>
      </w:r>
      <w:r>
        <w:rPr/>
        <w:t xml:space="preserve">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The state auditor must conduct a financial or accountability audit of each school district by June 1, 2020, for the 2018-19 school year to include a review of the following:</w:t>
      </w:r>
    </w:p>
    <w:p>
      <w:pPr>
        <w:spacing w:before="0" w:after="0" w:line="408" w:lineRule="exact"/>
        <w:ind w:left="0" w:right="0" w:firstLine="576"/>
        <w:jc w:val="left"/>
      </w:pPr>
      <w:r>
        <w:rPr/>
        <w:t xml:space="preserve">(i) Special education revenues and the sources of those revenues, by school district; and</w:t>
      </w:r>
    </w:p>
    <w:p>
      <w:pPr>
        <w:spacing w:before="0" w:after="0" w:line="408" w:lineRule="exact"/>
        <w:ind w:left="0" w:right="0" w:firstLine="576"/>
        <w:jc w:val="left"/>
      </w:pPr>
      <w:r>
        <w:rPr/>
        <w:t xml:space="preserve">(ii) Special education expenditures and the object of those expenditures, by school district.</w:t>
      </w:r>
    </w:p>
    <w:p>
      <w:pPr>
        <w:spacing w:before="0" w:after="0" w:line="408" w:lineRule="exact"/>
        <w:ind w:left="0" w:right="0" w:firstLine="576"/>
        <w:jc w:val="left"/>
      </w:pPr>
      <w:r>
        <w:rPr/>
        <w:t xml:space="preserve">(b) Special education data reported for each school district through the audits under this subsection must be compiled and submitted to the education committees of the legislature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2019 c 410 s 4 are each amended to read as follows:</w:t>
      </w:r>
    </w:p>
    <w:p>
      <w:pPr>
        <w:spacing w:before="0" w:after="0" w:line="408" w:lineRule="exact"/>
        <w:ind w:left="0" w:right="0" w:firstLine="576"/>
        <w:jc w:val="left"/>
      </w:pPr>
      <w:r>
        <w:rPr/>
        <w:t xml:space="preserve">(1)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The audit must also include a review of the expenditure schedule and supporting documentation required by RCW 28A.320.330(1)(c).</w:t>
      </w:r>
    </w:p>
    <w:p>
      <w:pPr>
        <w:spacing w:before="0" w:after="0" w:line="408" w:lineRule="exact"/>
        <w:ind w:left="0" w:right="0" w:firstLine="576"/>
        <w:jc w:val="left"/>
      </w:pPr>
      <w:r>
        <w:rPr/>
        <w:t xml:space="preserve">(2) </w:t>
      </w:r>
      <w:r>
        <w:t>((</w:t>
      </w:r>
      <w:r>
        <w:rPr>
          <w:strike/>
        </w:rPr>
        <w:t xml:space="preserve">If an audit under subsection (1) of this section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strike/>
        </w:rPr>
        <w:t xml:space="preserve">(3)</w:t>
      </w:r>
      <w:r>
        <w:t>))</w:t>
      </w:r>
      <w:r>
        <w:rPr/>
        <w:t xml:space="preserve">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December 1, 2021.</w:t>
      </w:r>
    </w:p>
    <w:p/>
    <w:p>
      <w:pPr>
        <w:jc w:val="center"/>
      </w:pPr>
      <w:r>
        <w:rPr>
          <w:b/>
        </w:rPr>
        <w:t>--- END ---</w:t>
      </w:r>
    </w:p>
    <w:sectPr>
      <w:pgNumType w:start="1"/>
      <w:footerReference xmlns:r="http://schemas.openxmlformats.org/officeDocument/2006/relationships" r:id="R306b819291ef47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08f3588dee4b28" /><Relationship Type="http://schemas.openxmlformats.org/officeDocument/2006/relationships/footer" Target="/word/footer1.xml" Id="R306b819291ef474d" /></Relationships>
</file>