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9265b3bb1443a" /></Relationships>
</file>

<file path=word/document.xml><?xml version="1.0" encoding="utf-8"?>
<w:document xmlns:w="http://schemas.openxmlformats.org/wordprocessingml/2006/main">
  <w:body>
    <w:p>
      <w:r>
        <w:t>H-0866.1</w:t>
      </w:r>
    </w:p>
    <w:p>
      <w:pPr>
        <w:jc w:val="center"/>
      </w:pPr>
      <w:r>
        <w:t>_______________________________________________</w:t>
      </w:r>
    </w:p>
    <w:p/>
    <w:p>
      <w:pPr>
        <w:jc w:val="center"/>
      </w:pPr>
      <w:r>
        <w:rPr>
          <w:b/>
        </w:rPr>
        <w:t>HOUSE BILL 1522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Barkis, Robertson, Kraft, Sutherland, Jacobsen, and Eslick</w:t>
      </w:r>
    </w:p>
    <w:p/>
    <w:p>
      <w:r>
        <w:rPr>
          <w:t xml:space="preserve">Read first time 02/11/21.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the cost of state-funded transportation projects by eliminating business and occupation tax pyramiding on engineering services;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due under this chapter, there may be deducted from the measure of tax all amounts paid by an engineering firm on subcontracts to a separate firm for services performed under chapter 18.43 RCW wholly related to a state-funded transportation project.</w:t>
      </w:r>
    </w:p>
    <w:p>
      <w:pPr>
        <w:spacing w:before="0" w:after="0" w:line="408" w:lineRule="exact"/>
        <w:ind w:left="0" w:right="0" w:firstLine="576"/>
        <w:jc w:val="left"/>
      </w:pPr>
      <w:r>
        <w:rPr/>
        <w:t xml:space="preserve">(2)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2021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for the general purpose of making state transportation projects more affordable by lowering overall projects costs, as indicated in RCW 82.32.808(2)(f).</w:t>
      </w:r>
    </w:p>
    <w:p>
      <w:pPr>
        <w:spacing w:before="0" w:after="0" w:line="408" w:lineRule="exact"/>
        <w:ind w:left="0" w:right="0" w:firstLine="576"/>
        <w:jc w:val="left"/>
      </w:pPr>
      <w:r>
        <w:rPr/>
        <w:t xml:space="preserve">(3) It is the legislature's specific public policy objective to lower the cost of state-funded transportation projects by eliminating business and occupation tax pyramiding on engineering services.</w:t>
      </w:r>
    </w:p>
    <w:p>
      <w:pPr>
        <w:spacing w:before="0" w:after="0" w:line="408" w:lineRule="exact"/>
        <w:ind w:left="0" w:right="0" w:firstLine="576"/>
        <w:jc w:val="left"/>
      </w:pPr>
      <w:r>
        <w:rPr/>
        <w:t xml:space="preserve">(4) If a review finds that the engineering costs of state road construction projects during the period under review is less, when adjusted for inflation, than the same costs for the period from 2015 through 2020, then the legislature intends to extend the expiration date of the tax preference. In making this review, the joint legislative audit and review committee must consult with the Washington state department of transportation.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394ea8e4558f4c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9132cd1481496e" /><Relationship Type="http://schemas.openxmlformats.org/officeDocument/2006/relationships/footer" Target="/word/footer1.xml" Id="R394ea8e4558f4c4c" /></Relationships>
</file>