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b08230a2a4f1b" /></Relationships>
</file>

<file path=word/document.xml><?xml version="1.0" encoding="utf-8"?>
<w:document xmlns:w="http://schemas.openxmlformats.org/wordprocessingml/2006/main">
  <w:body>
    <w:p>
      <w:r>
        <w:t>H-1761.1</w:t>
      </w:r>
    </w:p>
    <w:p>
      <w:pPr>
        <w:jc w:val="center"/>
      </w:pPr>
      <w:r>
        <w:t>_______________________________________________</w:t>
      </w:r>
    </w:p>
    <w:p/>
    <w:p>
      <w:pPr>
        <w:jc w:val="center"/>
      </w:pPr>
      <w:r>
        <w:rPr>
          <w:b/>
        </w:rPr>
        <w:t>HOUSE BILL 1591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Chapman, Rude, Corry, Walen, Caldier, Springer, Lekanoff, Wicks, Bateman, Eslick, Graham, Rule, Senn, Sullivan, Stokesbary, and Dent</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for charter schools; amending RCW 28A.500.015; creating new sections;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The legislature finds that the state education system must identify and coordinate effective strategies that focus on eliminating systemic barriers for historically and currently marginalized groups. </w:t>
      </w:r>
    </w:p>
    <w:p>
      <w:pPr>
        <w:spacing w:before="0" w:after="0" w:line="408" w:lineRule="exact"/>
        <w:ind w:left="0" w:right="0" w:firstLine="576"/>
        <w:jc w:val="left"/>
      </w:pPr>
      <w:r>
        <w:rPr/>
        <w:t xml:space="preserve">The legislature finds that charter schools, many of which serve higher percentages of students from marginalized groups than schools statewide, face barriers in access to extracurricular activities and enrichments beyond the program of basic education because they are unable to access local enrichment levies. With this act, the legislature intends to provide state local effort assistance funding to charter schools to improve access to extracurricular activities and enrichments beyond the program of basic education for their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w:t>
      </w:r>
      <w:r>
        <w:rPr>
          <w:u w:val="single"/>
        </w:rPr>
        <w:t xml:space="preserve">and charter public schools established under chapter 28A.710 RCW</w:t>
      </w:r>
      <w:r>
        <w:rPr/>
        <w:t xml:space="preserve">, the annual local effort assistance funding is equal to the actual enrichment levy per student as calculated by the superintendent of public instruction for the previous year for the school district in which the state-tribal education compact school </w:t>
      </w:r>
      <w:r>
        <w:rPr>
          <w:u w:val="single"/>
        </w:rPr>
        <w:t xml:space="preserve">or charter public school</w:t>
      </w:r>
      <w:r>
        <w:rPr/>
        <w:t xml:space="preserve"> is located, up to a maximum per student amount of </w:t>
      </w:r>
      <w:r>
        <w:t>((</w:t>
      </w:r>
      <w:r>
        <w:rPr>
          <w:strike/>
        </w:rPr>
        <w:t xml:space="preserve">one thousand five hundred fifty dollars</w:t>
      </w:r>
      <w:r>
        <w:t>))</w:t>
      </w:r>
      <w:r>
        <w:rPr/>
        <w:t xml:space="preserve"> </w:t>
      </w:r>
      <w:r>
        <w:rPr>
          <w:u w:val="single"/>
        </w:rPr>
        <w:t xml:space="preserve">$1,550</w:t>
      </w:r>
      <w:r>
        <w:rPr/>
        <w:t xml:space="preserve"> as increased </w:t>
      </w:r>
      <w:r>
        <w:t>((</w:t>
      </w:r>
      <w:r>
        <w:rPr>
          <w:strike/>
        </w:rPr>
        <w:t xml:space="preserve">by</w:t>
      </w:r>
      <w:r>
        <w:t>))</w:t>
      </w:r>
      <w:r>
        <w:rPr/>
        <w:t xml:space="preserve"> </w:t>
      </w:r>
      <w:r>
        <w:rPr>
          <w:u w:val="single"/>
        </w:rPr>
        <w:t xml:space="preserve">for</w:t>
      </w:r>
      <w:r>
        <w:rPr/>
        <w:t xml:space="preserve"> inflation </w:t>
      </w:r>
      <w:r>
        <w:t>((</w:t>
      </w:r>
      <w:r>
        <w:rPr>
          <w:strike/>
        </w:rPr>
        <w:t xml:space="preserve">from the 2019</w:t>
      </w:r>
      <w:r>
        <w:t>))</w:t>
      </w:r>
      <w:r>
        <w:rPr/>
        <w:t xml:space="preserve"> </w:t>
      </w:r>
      <w:r>
        <w:rPr>
          <w:u w:val="single"/>
        </w:rPr>
        <w:t xml:space="preserve">beginning in</w:t>
      </w:r>
      <w:r>
        <w:rPr/>
        <w:t xml:space="preserve"> calendar year </w:t>
      </w:r>
      <w:r>
        <w:rPr>
          <w:u w:val="single"/>
        </w:rPr>
        <w:t xml:space="preserve">2020</w:t>
      </w:r>
      <w:r>
        <w:rPr/>
        <w:t xml:space="preserve">, multiplied by the student enrollment of the state-tribal education compact school in the prior school year</w:t>
      </w:r>
      <w:r>
        <w:rPr>
          <w:u w:val="single"/>
        </w:rPr>
        <w:t xml:space="preserve">. The state must provide annual local effort assistance funding for charter public schools from the Washington opportunity pathways account in accordance with RCW 28A.710.270</w:t>
      </w:r>
      <w:r>
        <w:rPr/>
        <w:t xml:space="preserve">.</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(e) "State local effort assistance threshold" means </w:t>
      </w:r>
      <w:r>
        <w:t>((</w:t>
      </w:r>
      <w:r>
        <w:rPr>
          <w:strike/>
        </w:rPr>
        <w:t xml:space="preserve">one thousand five hundred fifty dollars</w:t>
      </w:r>
      <w:r>
        <w:t>))</w:t>
      </w:r>
      <w:r>
        <w:rPr/>
        <w:t xml:space="preserve"> </w:t>
      </w:r>
      <w:r>
        <w:rPr>
          <w:u w:val="single"/>
        </w:rPr>
        <w:t xml:space="preserve">$1,550</w:t>
      </w:r>
      <w:r>
        <w:rPr/>
        <w:t xml:space="preserve">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must provide full calendar year local effort assistance funding to eligible charter public schools in the 2022 calendar year. If local effort assistance distributions for the 2022 calendar year under RCW 28A.500.040 begin prior to the effective date of this section, then the first month's distribution to a charter public school must include the sum of the monthly percentages from April to the first month's distribution under RCW 28A.500.040.</w:t>
      </w:r>
    </w:p>
    <w:p>
      <w:pPr>
        <w:spacing w:before="0" w:after="0" w:line="408" w:lineRule="exact"/>
        <w:ind w:left="0" w:right="0" w:firstLine="576"/>
        <w:jc w:val="left"/>
      </w:pPr>
      <w:r>
        <w:rPr/>
        <w:t xml:space="preserve">(2) This section expires June 30, 2024.</w:t>
      </w:r>
    </w:p>
    <w:p/>
    <w:p>
      <w:pPr>
        <w:jc w:val="center"/>
      </w:pPr>
      <w:r>
        <w:rPr>
          <w:b/>
        </w:rPr>
        <w:t>--- END ---</w:t>
      </w:r>
    </w:p>
    <w:sectPr>
      <w:pgNumType w:start="1"/>
      <w:footerReference xmlns:r="http://schemas.openxmlformats.org/officeDocument/2006/relationships" r:id="Rb6c12d4b7ae047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95c1d4a194dd3" /><Relationship Type="http://schemas.openxmlformats.org/officeDocument/2006/relationships/footer" Target="/word/footer1.xml" Id="Rb6c12d4b7ae04797" /></Relationships>
</file>