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19107327d41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Shewmake, Ryu, Fitzgibbon, Ramel, Bateman, Gregerson, Goodman, Macri, Peterson, Simmons, Bergquist, Tharinger, Kloba, Pollet, and Ormsby)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36.70A.070, 36.70A.697, and 36.70A.698; adding a new section to chapter 64.38 RCW; adding a new section to chapter 64.90 RCW; adding a new section to chapter 36.70A RCW; adding a new section to chapter 64.34 RCW; and adding a new section to chapter 64.32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maximum floor area limit on the size of an accessory dwelling unit of less than:</w:t>
      </w:r>
    </w:p>
    <w:p>
      <w:pPr>
        <w:spacing w:before="0" w:after="0" w:line="408" w:lineRule="exact"/>
        <w:ind w:left="0" w:right="0" w:firstLine="576"/>
        <w:jc w:val="left"/>
      </w:pPr>
      <w:r>
        <w:rPr>
          <w:u w:val="single"/>
        </w:rPr>
        <w:t xml:space="preserve">(i)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(ii)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 and a county or city may require that public health, safety, building code, and environmental permitting requirements that would be applicable to the principal unit are met prior to the construction of the accessory dwelling unit;</w:t>
      </w:r>
    </w:p>
    <w:p>
      <w:pPr>
        <w:spacing w:before="0" w:after="0" w:line="408" w:lineRule="exact"/>
        <w:ind w:left="0" w:right="0" w:firstLine="576"/>
        <w:jc w:val="left"/>
      </w:pPr>
      <w:r>
        <w:rPr>
          <w:u w:val="single"/>
        </w:rPr>
        <w:t xml:space="preserve">(b) Impose any impact fees on the construction or development of an accessory dwelling unit that are greater than 50 percent of the impact fees that would be imposed on a similarly sized principal unit;</w:t>
      </w:r>
    </w:p>
    <w:p>
      <w:pPr>
        <w:spacing w:before="0" w:after="0" w:line="408" w:lineRule="exact"/>
        <w:ind w:left="0" w:right="0" w:firstLine="576"/>
        <w:jc w:val="left"/>
      </w:pPr>
      <w:r>
        <w:rPr>
          <w:u w:val="single"/>
        </w:rPr>
        <w:t xml:space="preserve">(c) Impose a limit on accessory dwelling units of fewer than one attached and one detached accessory dwelling unit on a lot zoned for residential use with a total square footage of more than 4,500 square feet, unless the lot is otherwise zoned to allow at least three dwelling units;</w:t>
      </w:r>
    </w:p>
    <w:p>
      <w:pPr>
        <w:spacing w:before="0" w:after="0" w:line="408" w:lineRule="exact"/>
        <w:ind w:left="0" w:right="0" w:firstLine="576"/>
        <w:jc w:val="left"/>
      </w:pPr>
      <w:r>
        <w:rPr>
          <w:u w:val="single"/>
        </w:rPr>
        <w:t xml:space="preserve">(d)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(e)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owner of the accessory dwelling unit accepts an offer from the city or county for the reduction or waiver of the costs or fees that would have normally been imposed on the construction of the accessory dwelling unit. In order to utilize this provision, a city or county must have a general program offering the waiver or reduction of fees and costs associated with accessory dwelling unit construction, with specific additional waiver provisions for units offered at or below 80 percent of the area median income;</w:t>
      </w:r>
    </w:p>
    <w:p>
      <w:pPr>
        <w:spacing w:before="0" w:after="0" w:line="408" w:lineRule="exact"/>
        <w:ind w:left="0" w:right="0" w:firstLine="576"/>
        <w:jc w:val="left"/>
      </w:pPr>
      <w:r>
        <w:rPr>
          <w:u w:val="single"/>
        </w:rPr>
        <w:t xml:space="preserve">(f) Require</w:t>
      </w:r>
      <w:r>
        <w:rPr/>
        <w:t xml:space="preserv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Cities and counties may apply generally applicable development regulations to the construction of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Governing documents created after the effective date of this section and applicable to an association located within an urban growth area may not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that were created after the effective date of this section and that are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Neither a declaration nor a governing document created after the effective date of this section and applicable to a common interest community located inside an urban growth area may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declarations or governing documents that were created after the effective date of this section and that are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declaration created after the effective date of this section and applicable to an association located within an urban growth area may not actively or effectively prohibit the construction, development, or use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that were created after the effective date of this section and that are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declaration created after the effective date of this section and applicable to an association of apartment owners located within an urban growth area may not actively or effectively prohibit the construction, development, or use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that were created after the effective date of this section and that are contrary to subsection (1) of this section.</w:t>
      </w:r>
    </w:p>
    <w:p/>
    <w:p>
      <w:pPr>
        <w:jc w:val="center"/>
      </w:pPr>
      <w:r>
        <w:rPr>
          <w:b/>
        </w:rPr>
        <w:t>--- END ---</w:t>
      </w:r>
    </w:p>
    <w:sectPr>
      <w:pgNumType w:start="1"/>
      <w:footerReference xmlns:r="http://schemas.openxmlformats.org/officeDocument/2006/relationships" r:id="R1ca01dacdbfe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1af58e856467a" /><Relationship Type="http://schemas.openxmlformats.org/officeDocument/2006/relationships/footer" Target="/word/footer1.xml" Id="R1ca01dacdbfe41ea" /></Relationships>
</file>