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5085fdec54487" /></Relationships>
</file>

<file path=word/document.xml><?xml version="1.0" encoding="utf-8"?>
<w:document xmlns:w="http://schemas.openxmlformats.org/wordprocessingml/2006/main">
  <w:body>
    <w:p>
      <w:r>
        <w:t>H-1847.1</w:t>
      </w:r>
    </w:p>
    <w:p>
      <w:pPr>
        <w:jc w:val="center"/>
      </w:pPr>
      <w:r>
        <w:t>_______________________________________________</w:t>
      </w:r>
    </w:p>
    <w:p/>
    <w:p>
      <w:pPr>
        <w:jc w:val="center"/>
      </w:pPr>
      <w:r>
        <w:rPr>
          <w:b/>
        </w:rPr>
        <w:t>HOUSE BILL 1671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Leavitt, Bateman, Valdez, Cody, Macri, Paul, Simmons, Chopp, Tharinger, Kloba, Pollet, Ormsby, Harris-Talley, and Taylor</w:t>
      </w:r>
    </w:p>
    <w:p/>
    <w:p>
      <w:r>
        <w:rPr>
          <w:t xml:space="preserve">Prefiled 12/20/21.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amending RCW 43.71C.100 and 43.71.130; adding a new section to chapter 48.43 RCW;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(7) "Generic drug" has the same meaning as in RCW 69.48.020.</w:t>
      </w:r>
    </w:p>
    <w:p>
      <w:pPr>
        <w:spacing w:before="0" w:after="0" w:line="408" w:lineRule="exact"/>
        <w:ind w:left="0" w:right="0" w:firstLine="576"/>
        <w:jc w:val="left"/>
      </w:pPr>
      <w:r>
        <w:rPr/>
        <w:t xml:space="preserve">(8) "Health carrier" or "carrier"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for each drug affordability review conducted by the board pursuant to section 4 of the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may adopt rules governing their operation.</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must hold its first meeting by March 1, 2023.</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$25,000 or more per year or course of treatment lasting less than one year; or</w:t>
      </w:r>
    </w:p>
    <w:p>
      <w:pPr>
        <w:spacing w:before="0" w:after="0" w:line="408" w:lineRule="exact"/>
        <w:ind w:left="0" w:right="0" w:firstLine="576"/>
        <w:jc w:val="left"/>
      </w:pPr>
      <w:r>
        <w:rPr/>
        <w:t xml:space="preserve">(b) Have a price increase of $3,000 or more in any 12-month period or for a course of treatment lasting less than 12 months;</w:t>
      </w:r>
    </w:p>
    <w:p>
      <w:pPr>
        <w:spacing w:before="0" w:after="0" w:line="408" w:lineRule="exact"/>
        <w:ind w:left="0" w:right="0" w:firstLine="576"/>
        <w:jc w:val="left"/>
      </w:pPr>
      <w:r>
        <w:rPr/>
        <w:t xml:space="preserve">(2) Biosimilar products with a wholesale acquisition cost less than 15 percent below the reference brand biologic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any prescription drug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drugs chosen for an affordability review, the board must determine whether the drug has led or will lead to excess costs to patients. The board may examine publicly available information as well as collect confidential and proprietary information from the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assessment of a fine under this subsection is subject to review under the administrative procedure act, chapter 34.05 RCW.</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 and</w:t>
      </w:r>
    </w:p>
    <w:p>
      <w:pPr>
        <w:spacing w:before="0" w:after="0" w:line="408" w:lineRule="exact"/>
        <w:ind w:left="0" w:right="0" w:firstLine="576"/>
        <w:jc w:val="left"/>
      </w:pPr>
      <w:r>
        <w:rPr/>
        <w:t xml:space="preserve">(i)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not subject to public disclosure under chapter 42.56 RCW.</w:t>
      </w:r>
    </w:p>
    <w:p>
      <w:pPr>
        <w:spacing w:before="0" w:after="0" w:line="408" w:lineRule="exact"/>
        <w:ind w:left="0" w:right="0" w:firstLine="576"/>
        <w:jc w:val="left"/>
      </w:pPr>
      <w:r>
        <w:rPr/>
        <w:t xml:space="preserve">(8) The board shall publicize which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board must establish a methodology in rule for setting upper payment limits for prescription drugs the board has determined have led or will lead to excess costs based on its affordability review.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or similar formulas that take into account a patient's age or severity of illness or disability, to identify subpopulations for which a prescription drug would be less cost-effective. For any prescription drug that extends life, the board's analysis of cost-effectiveness must weigh the value of the quality of life equally for all patients, regardless of the patients' age or severity of illness or disability.</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2024.</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from sale or distribution within the state a prescription drug for which the board has established an upper payment limit shall provide a notice of withdrawal in writing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five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five-year ban if it agrees to make the drug available for sale in compliance with the upper payment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PRICE INCREASE PENALTY.</w:t>
      </w:r>
      <w:r>
        <w:t xml:space="preserve">  </w:t>
      </w:r>
      <w:r>
        <w:rPr/>
        <w:t xml:space="preserve">(1) If the board determines, after an affordability review, that a prescription drug will result in excess costs for patients, but does not impose an upper payment limit on the drug, the department must impose a penalty on the increased revenue resulting from the price increase on the drug.</w:t>
      </w:r>
    </w:p>
    <w:p>
      <w:pPr>
        <w:spacing w:before="0" w:after="0" w:line="408" w:lineRule="exact"/>
        <w:ind w:left="0" w:right="0" w:firstLine="576"/>
        <w:jc w:val="left"/>
      </w:pPr>
      <w:r>
        <w:rPr/>
        <w:t xml:space="preserve">(2) The penalty in any calendar year must equal 80 percent of the difference between the revenue generated by sales within the state, either directly or indirectly, of the identified drugs and the revenue that would have been generated if the manufacturer had maintained the wholesale acquisition cost from the previous calendar year, adjusted for inflation using the consumer price index.</w:t>
      </w:r>
    </w:p>
    <w:p>
      <w:pPr>
        <w:spacing w:before="0" w:after="0" w:line="408" w:lineRule="exact"/>
        <w:ind w:left="0" w:right="0" w:firstLine="576"/>
        <w:jc w:val="left"/>
      </w:pPr>
      <w:r>
        <w:rPr/>
        <w:t xml:space="preserve">(3) The board must notify the drug manufacturer and the department within 60 days of its decision not to impose an upper payment limit.</w:t>
      </w:r>
    </w:p>
    <w:p>
      <w:pPr>
        <w:spacing w:before="0" w:after="0" w:line="408" w:lineRule="exact"/>
        <w:ind w:left="0" w:right="0" w:firstLine="576"/>
        <w:jc w:val="left"/>
      </w:pPr>
      <w:r>
        <w:rPr/>
        <w:t xml:space="preserve">(4)(a) The penalty described under this section must be collected annually.</w:t>
      </w:r>
    </w:p>
    <w:p>
      <w:pPr>
        <w:spacing w:before="0" w:after="0" w:line="408" w:lineRule="exact"/>
        <w:ind w:left="0" w:right="0" w:firstLine="576"/>
        <w:jc w:val="left"/>
      </w:pPr>
      <w:r>
        <w:rPr/>
        <w:t xml:space="preserve">(b) Any manufacturer notified by the board pursuant to subsection (3) of this section must submit information to the department, in the time frame, form, and manner as prescribed by the department, and pay the penalty within the time frame determined by the department.</w:t>
      </w:r>
    </w:p>
    <w:p>
      <w:pPr>
        <w:spacing w:before="0" w:after="0" w:line="408" w:lineRule="exact"/>
        <w:ind w:left="0" w:right="0" w:firstLine="576"/>
        <w:jc w:val="left"/>
      </w:pPr>
      <w:r>
        <w:rPr/>
        <w:t xml:space="preserve">(c) The department will notify manufacturers of the amount of the penalty within 90 days of receiving the information described in subsection (5) of this section.</w:t>
      </w:r>
    </w:p>
    <w:p>
      <w:pPr>
        <w:spacing w:before="0" w:after="0" w:line="408" w:lineRule="exact"/>
        <w:ind w:left="0" w:right="0" w:firstLine="576"/>
        <w:jc w:val="left"/>
      </w:pPr>
      <w:r>
        <w:rPr/>
        <w:t xml:space="preserve">(5) The information described in subsection (4)(b) of this section must contain the following:</w:t>
      </w:r>
    </w:p>
    <w:p>
      <w:pPr>
        <w:spacing w:before="0" w:after="0" w:line="408" w:lineRule="exact"/>
        <w:ind w:left="0" w:right="0" w:firstLine="576"/>
        <w:jc w:val="left"/>
      </w:pPr>
      <w:r>
        <w:rPr/>
        <w:t xml:space="preserve">(a) The total amount of sales of the identified drug within the state;</w:t>
      </w:r>
    </w:p>
    <w:p>
      <w:pPr>
        <w:spacing w:before="0" w:after="0" w:line="408" w:lineRule="exact"/>
        <w:ind w:left="0" w:right="0" w:firstLine="576"/>
        <w:jc w:val="left"/>
      </w:pPr>
      <w:r>
        <w:rPr/>
        <w:t xml:space="preserve">(b) The total number of units sold of the identified drug within the state;</w:t>
      </w:r>
    </w:p>
    <w:p>
      <w:pPr>
        <w:spacing w:before="0" w:after="0" w:line="408" w:lineRule="exact"/>
        <w:ind w:left="0" w:right="0" w:firstLine="576"/>
        <w:jc w:val="left"/>
      </w:pPr>
      <w:r>
        <w:rPr/>
        <w:t xml:space="preserve">(c) The wholesale acquisition cost of the identified drug during the reporting period and any changes in the wholesale acquisition cost during the calendar year;</w:t>
      </w:r>
    </w:p>
    <w:p>
      <w:pPr>
        <w:spacing w:before="0" w:after="0" w:line="408" w:lineRule="exact"/>
        <w:ind w:left="0" w:right="0" w:firstLine="576"/>
        <w:jc w:val="left"/>
      </w:pPr>
      <w:r>
        <w:rPr/>
        <w:t xml:space="preserve">(d) The wholesale acquisition cost during the previous calendar year; and</w:t>
      </w:r>
    </w:p>
    <w:p>
      <w:pPr>
        <w:spacing w:before="0" w:after="0" w:line="408" w:lineRule="exact"/>
        <w:ind w:left="0" w:right="0" w:firstLine="576"/>
        <w:jc w:val="left"/>
      </w:pPr>
      <w:r>
        <w:rPr/>
        <w:t xml:space="preserve">(e) Any other information the department deems necessary to calculate the correct amount of the penalty owed.</w:t>
      </w:r>
    </w:p>
    <w:p>
      <w:pPr>
        <w:spacing w:before="0" w:after="0" w:line="408" w:lineRule="exact"/>
        <w:ind w:left="0" w:right="0" w:firstLine="576"/>
        <w:jc w:val="left"/>
      </w:pPr>
      <w:r>
        <w:rPr/>
        <w:t xml:space="preserve">(6) Failure by any manufacturer to file the information required in subsection (5) of this section, by the time frames determined by the department under subsection (4) of this section, must result in an additional penalty in an amount equal to the greater of 10 percent of the assessed fine as described in subsection (2) of this section or $50,000.</w:t>
      </w:r>
    </w:p>
    <w:p>
      <w:pPr>
        <w:spacing w:before="0" w:after="0" w:line="408" w:lineRule="exact"/>
        <w:ind w:left="0" w:right="0" w:firstLine="576"/>
        <w:jc w:val="left"/>
      </w:pPr>
      <w:r>
        <w:rPr/>
        <w:t xml:space="preserve">(7) All revenue collected pursuant to this section must be deposited into the state health care affordability account created in RCW 43.71.130.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and the department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13 of this act), establishes an upper payment limit for a prescription drug pursuant to section 5 of this act, a carrier's compensation agreements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13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130</w:t>
      </w:r>
      <w:r>
        <w:rPr/>
        <w:t xml:space="preserve"> and 2021 c 246 s 3 are each amended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RCW 43.71.110.</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RCW 48.43.795;</w:t>
      </w:r>
    </w:p>
    <w:p>
      <w:pPr>
        <w:spacing w:before="0" w:after="0" w:line="408" w:lineRule="exact"/>
        <w:ind w:left="0" w:right="0" w:firstLine="576"/>
        <w:jc w:val="left"/>
      </w:pPr>
      <w:r>
        <w:rPr/>
        <w:t xml:space="preserve">(b) Any federal funds received by the health benefit exchange pursuant to RCW 43.71.120; </w:t>
      </w:r>
      <w:r>
        <w:t>((</w:t>
      </w:r>
      <w:r>
        <w:rPr>
          <w:strike/>
        </w:rPr>
        <w:t xml:space="preserve">and</w:t>
      </w:r>
      <w:r>
        <w:t>))</w:t>
      </w:r>
    </w:p>
    <w:p>
      <w:pPr>
        <w:spacing w:before="0" w:after="0" w:line="408" w:lineRule="exact"/>
        <w:ind w:left="0" w:right="0" w:firstLine="576"/>
        <w:jc w:val="left"/>
      </w:pPr>
      <w:r>
        <w:rPr/>
        <w:t xml:space="preserve">(c) </w:t>
      </w:r>
      <w:r>
        <w:rPr>
          <w:u w:val="single"/>
        </w:rPr>
        <w:t xml:space="preserve">Any funds collected pursuant to section 8 of this act; and</w:t>
      </w:r>
    </w:p>
    <w:p>
      <w:pPr>
        <w:spacing w:before="0" w:after="0" w:line="408" w:lineRule="exact"/>
        <w:ind w:left="0" w:right="0" w:firstLine="576"/>
        <w:jc w:val="left"/>
      </w:pPr>
      <w:r>
        <w:rPr>
          <w:u w:val="single"/>
        </w:rPr>
        <w:t xml:space="preserve">(d)</w:t>
      </w:r>
      <w:r>
        <w:rPr/>
        <w:t xml:space="preserve">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c7d48047bdca4c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29a76816740bb" /><Relationship Type="http://schemas.openxmlformats.org/officeDocument/2006/relationships/footer" Target="/word/footer1.xml" Id="Rc7d48047bdca4c68" /></Relationships>
</file>