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da000db0a40c9" /></Relationships>
</file>

<file path=word/document.xml><?xml version="1.0" encoding="utf-8"?>
<w:document xmlns:w="http://schemas.openxmlformats.org/wordprocessingml/2006/main">
  <w:body>
    <w:p>
      <w:r>
        <w:t>H-2896.3</w:t>
      </w:r>
    </w:p>
    <w:p>
      <w:pPr>
        <w:jc w:val="center"/>
      </w:pPr>
      <w:r>
        <w:t>_______________________________________________</w:t>
      </w:r>
    </w:p>
    <w:p/>
    <w:p>
      <w:pPr>
        <w:jc w:val="center"/>
      </w:pPr>
      <w:r>
        <w:rPr>
          <w:b/>
        </w:rPr>
        <w:t>SECOND SUBSTITUTE HOUSE BILL 1682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Ramel, Duerr, Berry, Macri, Ormsby, and Hackney; by request of Department of Ecology)</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compliance pathway specific to emissions-intensive, trade-exposed businesses for achieving their proportionate share of the state's emissions reduction limits through 2050; amending RCW 70A.65.110, 70A.65.230, 70A.65.260, 70A.65.010, and 70A.65.080; adding new sections to chapter 70A.65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r>
        <w:rPr>
          <w:u w:val="single"/>
        </w:rPr>
        <w:t xml:space="preserve">, as those classifications existed on January 1, 2021</w:t>
      </w:r>
      <w:r>
        <w:rPr/>
        <w:t xml:space="preserve">:</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w:t>
      </w:r>
      <w:r>
        <w:t>((</w:t>
      </w:r>
      <w:r>
        <w:rPr>
          <w:strike/>
        </w:rPr>
        <w:t xml:space="preserve">manufacturing businesses</w:t>
      </w:r>
      <w:r>
        <w:t>))</w:t>
      </w:r>
      <w:r>
        <w:rPr/>
        <w:t xml:space="preserve"> </w:t>
      </w:r>
      <w:r>
        <w:rPr>
          <w:u w:val="single"/>
        </w:rPr>
        <w:t xml:space="preserve">facilities</w:t>
      </w:r>
      <w:r>
        <w:rPr/>
        <w:t xml:space="preserve"> during the second compliance period of the program and subsequent compliance periods. A </w:t>
      </w:r>
      <w:r>
        <w:rPr>
          <w:u w:val="single"/>
        </w:rPr>
        <w:t xml:space="preserve">manufacturing</w:t>
      </w:r>
      <w:r>
        <w:rPr/>
        <w:t xml:space="preserve"> facility covered by subsection (1)(a) through (m) of this section is considered an emissions-intensive, trade-exposed facility and is eligible for allocation of no cost allowances as described in this section. In addition, any covered party that </w:t>
      </w:r>
      <w:r>
        <w:t>((</w:t>
      </w:r>
      <w:r>
        <w:rPr>
          <w:strike/>
        </w:rPr>
        <w:t xml:space="preserve">is a manufacturing business</w:t>
      </w:r>
      <w:r>
        <w:t>))</w:t>
      </w:r>
      <w:r>
        <w:rPr/>
        <w:t xml:space="preserve"> </w:t>
      </w:r>
      <w:r>
        <w:rPr>
          <w:u w:val="single"/>
        </w:rPr>
        <w:t xml:space="preserve">owns or operates a manufacturing facility</w:t>
      </w:r>
      <w:r>
        <w:rPr/>
        <w:t xml:space="preserve">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w:t>
      </w:r>
      <w:r>
        <w:t>((</w:t>
      </w:r>
      <w:r>
        <w:rPr>
          <w:strike/>
        </w:rPr>
        <w:t xml:space="preserve">manufacturing businesses</w:t>
      </w:r>
      <w:r>
        <w:t>))</w:t>
      </w:r>
      <w:r>
        <w:rPr/>
        <w:t xml:space="preserve"> </w:t>
      </w:r>
      <w:r>
        <w:rPr>
          <w:u w:val="single"/>
        </w:rPr>
        <w:t xml:space="preserve">facilities</w:t>
      </w:r>
      <w:r>
        <w:rPr/>
        <w:t xml:space="preserve">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w:t>
      </w:r>
      <w:r>
        <w:rPr>
          <w:u w:val="single"/>
        </w:rPr>
        <w:t xml:space="preserve">and only after the completion of the report required in subsection (4) of this section,</w:t>
      </w:r>
      <w:r>
        <w:rPr/>
        <w:t xml:space="preserve">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w:t>
      </w:r>
      <w:r>
        <w:rPr>
          <w:u w:val="single"/>
        </w:rPr>
        <w:t xml:space="preserve">an</w:t>
      </w:r>
      <w:r>
        <w:rPr/>
        <w:t xml:space="preserve"> emissions-intensive, trade-exposed </w:t>
      </w:r>
      <w:r>
        <w:t>((</w:t>
      </w:r>
      <w:r>
        <w:rPr>
          <w:strike/>
        </w:rPr>
        <w:t xml:space="preserve">facilities</w:t>
      </w:r>
      <w:r>
        <w:t>))</w:t>
      </w:r>
      <w:r>
        <w:rPr/>
        <w:t xml:space="preserve"> </w:t>
      </w:r>
      <w:r>
        <w:rPr>
          <w:u w:val="single"/>
        </w:rPr>
        <w:t xml:space="preserve">facility</w:t>
      </w:r>
      <w:r>
        <w:rPr/>
        <w:t xml:space="preserve"> to apply to the department for an </w:t>
      </w:r>
      <w:r>
        <w:rPr>
          <w:u w:val="single"/>
        </w:rPr>
        <w:t xml:space="preserve">upwards</w:t>
      </w:r>
      <w:r>
        <w:rPr/>
        <w:t xml:space="preserve">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w:t>
      </w:r>
      <w:r>
        <w:t>((</w:t>
      </w:r>
      <w:r>
        <w:rPr>
          <w:strike/>
        </w:rPr>
        <w:t xml:space="preserve">2026</w:t>
      </w:r>
      <w:r>
        <w:t>))</w:t>
      </w:r>
      <w:r>
        <w:rPr/>
        <w:t xml:space="preserve"> </w:t>
      </w:r>
      <w:r>
        <w:rPr>
          <w:u w:val="single"/>
        </w:rPr>
        <w:t xml:space="preserve">2024</w:t>
      </w:r>
      <w:r>
        <w:rPr/>
        <w:t xml:space="preserve">,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w:t>
      </w:r>
      <w:r>
        <w:rPr>
          <w:u w:val="single"/>
        </w:rPr>
        <w:t xml:space="preserve">In developing the report, the department must consider, among other relevant information, the criteria in the statement of intent with respect to emissions-intensive, trade-exposed industries in section 4 of this act.</w:t>
      </w:r>
      <w:r>
        <w:rPr/>
        <w:t xml:space="preserve"> The report must include a review of global best practices in ensuring against emissions leakage and economic harm to businesses in carbon pricing programs </w:t>
      </w:r>
      <w:r>
        <w:t>((</w:t>
      </w:r>
      <w:r>
        <w:rPr>
          <w:strike/>
        </w:rPr>
        <w:t xml:space="preserve">and</w:t>
      </w:r>
      <w:r>
        <w:t>))</w:t>
      </w:r>
      <w:r>
        <w:rPr>
          <w:u w:val="single"/>
        </w:rPr>
        <w:t xml:space="preserve">,</w:t>
      </w:r>
      <w:r>
        <w:rPr/>
        <w:t xml:space="preserve"> describe alternative methods of emissions performance benchmarking</w:t>
      </w:r>
      <w:r>
        <w:rPr>
          <w:u w:val="single"/>
        </w:rPr>
        <w:t xml:space="preserve">,</w:t>
      </w:r>
      <w:r>
        <w:rPr/>
        <w:t xml:space="preserve"> and </w:t>
      </w:r>
      <w:r>
        <w:rPr>
          <w:u w:val="single"/>
        </w:rPr>
        <w:t xml:space="preserve">describe alternative methods of</w:t>
      </w:r>
      <w:r>
        <w:rPr/>
        <w:t xml:space="preserve"> mass-based allocation of no cost allowances. At a minimum, the department must evaluate benchmarks based on both carbon intensity and mass, as well as </w:t>
      </w:r>
      <w:r>
        <w:t>((</w:t>
      </w:r>
      <w:r>
        <w:rPr>
          <w:strike/>
        </w:rPr>
        <w:t xml:space="preserve">the use of best available technology as a method for</w:t>
      </w:r>
      <w:r>
        <w:t>))</w:t>
      </w:r>
      <w:r>
        <w:rPr/>
        <w:t xml:space="preserve"> </w:t>
      </w:r>
      <w:r>
        <w:rPr>
          <w:u w:val="single"/>
        </w:rPr>
        <w:t xml:space="preserve">recommend a process through which an emissions-intensive, trade-exposed facility may demonstrate its use of best available technology as a method of</w:t>
      </w:r>
      <w:r>
        <w:rPr/>
        <w:t xml:space="preserve"> compliance. </w:t>
      </w:r>
      <w:r>
        <w:rPr>
          <w:u w:val="single"/>
        </w:rPr>
        <w:t xml:space="preserve">For each alternative method considered, the report must address any potential impact on the ability of the department to enter into a linkage agreement with another jurisdiction or to remain linked with another jurisdiction.</w:t>
      </w:r>
      <w:r>
        <w:rPr/>
        <w:t xml:space="preserve"> In developing the report, the department shall form an advisory group that </w:t>
      </w:r>
      <w:r>
        <w:t>((</w:t>
      </w:r>
      <w:r>
        <w:rPr>
          <w:strike/>
        </w:rPr>
        <w:t xml:space="preserve">includes</w:t>
      </w:r>
      <w:r>
        <w:t>))</w:t>
      </w:r>
      <w:r>
        <w:rPr/>
        <w:t xml:space="preserve"> </w:t>
      </w:r>
      <w:r>
        <w:rPr>
          <w:u w:val="single"/>
        </w:rPr>
        <w:t xml:space="preserve">must include, but is not limited to,</w:t>
      </w:r>
      <w:r>
        <w:rPr/>
        <w:t xml:space="preserve"> representatives of the manufacturers listed in subsection (1) of this section</w:t>
      </w:r>
      <w:r>
        <w:rPr>
          <w:u w:val="single"/>
        </w:rPr>
        <w:t xml:space="preserve">, other covered entities, environmental organizations, and technical experts</w:t>
      </w:r>
      <w:r>
        <w:rPr/>
        <w:t xml:space="preserve">.</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0" w:after="0" w:line="408" w:lineRule="exact"/>
        <w:ind w:left="0" w:right="0" w:firstLine="576"/>
        <w:jc w:val="left"/>
      </w:pPr>
      <w:r>
        <w:rPr>
          <w:u w:val="single"/>
        </w:rPr>
        <w:t xml:space="preserve">(9)(a) In order to support the department's ability to perform best available technology analyses as provided in this section, the department may require a person that owns or operates an emissions-intensive, trade-exposed facility in Washington to provide emission and production information to the department, including information related to:</w:t>
      </w:r>
    </w:p>
    <w:p>
      <w:pPr>
        <w:spacing w:before="0" w:after="0" w:line="408" w:lineRule="exact"/>
        <w:ind w:left="0" w:right="0" w:firstLine="576"/>
        <w:jc w:val="left"/>
      </w:pPr>
      <w:r>
        <w:rPr>
          <w:u w:val="single"/>
        </w:rPr>
        <w:t xml:space="preserve">(i) The greenhouse gas emissions of facilities, and emissions units within facilities, owned or operated by the person;</w:t>
      </w:r>
    </w:p>
    <w:p>
      <w:pPr>
        <w:spacing w:before="0" w:after="0" w:line="408" w:lineRule="exact"/>
        <w:ind w:left="0" w:right="0" w:firstLine="576"/>
        <w:jc w:val="left"/>
      </w:pPr>
      <w:r>
        <w:rPr>
          <w:u w:val="single"/>
        </w:rPr>
        <w:t xml:space="preserve">(ii) The products, and volumes of such products, produced by facilities owned or operated by the person;</w:t>
      </w:r>
    </w:p>
    <w:p>
      <w:pPr>
        <w:spacing w:before="0" w:after="0" w:line="408" w:lineRule="exact"/>
        <w:ind w:left="0" w:right="0" w:firstLine="576"/>
        <w:jc w:val="left"/>
      </w:pPr>
      <w:r>
        <w:rPr>
          <w:u w:val="single"/>
        </w:rPr>
        <w:t xml:space="preserve">(iii) The greenhouse gas emissions intensity associated with products produced by facilities owned or operated by the person; and</w:t>
      </w:r>
    </w:p>
    <w:p>
      <w:pPr>
        <w:spacing w:before="0" w:after="0" w:line="408" w:lineRule="exact"/>
        <w:ind w:left="0" w:right="0" w:firstLine="576"/>
        <w:jc w:val="left"/>
      </w:pPr>
      <w:r>
        <w:rPr>
          <w:u w:val="single"/>
        </w:rPr>
        <w:t xml:space="preserve">(iv) Information related to the technology and manufacturing processes used by facilities owned or operated by the person.</w:t>
      </w:r>
    </w:p>
    <w:p>
      <w:pPr>
        <w:spacing w:before="0" w:after="0" w:line="408" w:lineRule="exact"/>
        <w:ind w:left="0" w:right="0" w:firstLine="576"/>
        <w:jc w:val="left"/>
      </w:pPr>
      <w:r>
        <w:rPr>
          <w:u w:val="single"/>
        </w:rPr>
        <w:t xml:space="preserve">(b) A person that is subject to an order under (a) of this subsection must provide the requested information within a reasonable period of time as specified by the department, after receipt of the department's order.</w:t>
      </w:r>
    </w:p>
    <w:p>
      <w:pPr>
        <w:spacing w:before="0" w:after="0" w:line="408" w:lineRule="exact"/>
        <w:ind w:left="0" w:right="0" w:firstLine="576"/>
        <w:jc w:val="left"/>
      </w:pPr>
      <w:r>
        <w:rPr>
          <w:u w:val="single"/>
        </w:rPr>
        <w:t xml:space="preserve">(c) A person that submits information or records to the department under this subsection may request that the information or records be made available only for the confidential use of the department, the director, or the appropriate division of the department. The director shall give consideration to the request and if this action is not detrimental to the public interest and is otherwise in accordance with the policies and purposes of chapter 43.21A RCW, the director may grant the request, in whole or in part, for the information to remain confidential as authorized in RCW 43.21A.160.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w:t>
      </w:r>
      <w:r>
        <w:rPr>
          <w:u w:val="single"/>
        </w:rPr>
        <w:t xml:space="preserve">-</w:t>
      </w:r>
      <w:r>
        <w:rPr/>
        <w:t xml:space="preserve">intensive fuel sources</w:t>
      </w:r>
      <w:r>
        <w:rPr>
          <w:u w:val="single"/>
        </w:rPr>
        <w:t xml:space="preserve">, including programs, activities, or projects that reduce covered emissions of facilities identified as emissions-intensive, trade-exposed industries pursuant to RCW 70A.65.110</w:t>
      </w:r>
      <w:r>
        <w:rPr/>
        <w:t xml:space="preserve">;</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This section constitutes a statement of legislative intent with respect to amending, at a future date, the allocation of allowances to emissions-intensive, trade-exposed facilities under RCW 70A.65.110. Nothing in this section may be construed to establish, amend, or eliminate a right, duty, or compliance obligation or other obligation under this chapter or any other state law.</w:t>
      </w:r>
    </w:p>
    <w:p>
      <w:pPr>
        <w:spacing w:before="0" w:after="0" w:line="408" w:lineRule="exact"/>
        <w:ind w:left="0" w:right="0" w:firstLine="576"/>
        <w:jc w:val="left"/>
      </w:pPr>
      <w:r>
        <w:rPr/>
        <w:t xml:space="preserve">(2) It is the intent of the legislature, in establishing a policy applicable to emissions-intensive, trade-exposed facilities, to:</w:t>
      </w:r>
    </w:p>
    <w:p>
      <w:pPr>
        <w:spacing w:before="0" w:after="0" w:line="408" w:lineRule="exact"/>
        <w:ind w:left="0" w:right="0" w:firstLine="576"/>
        <w:jc w:val="left"/>
      </w:pPr>
      <w:r>
        <w:rPr/>
        <w:t xml:space="preserve">(a) Ensure that emissions-intensive, trade-exposed industries achieve their proportionate share of the state's emissions limits established in RCW 70A.45.020 and avoid leakage of emissions and jobs;</w:t>
      </w:r>
    </w:p>
    <w:p>
      <w:pPr>
        <w:spacing w:before="0" w:after="0" w:line="408" w:lineRule="exact"/>
        <w:ind w:left="0" w:right="0" w:firstLine="576"/>
        <w:jc w:val="left"/>
      </w:pPr>
      <w:r>
        <w:rPr/>
        <w:t xml:space="preserve">(b) Reduce criteria air pollution and environmental health disparities, particularly in overburdened communities as defined in chapter 70A.02 RCW; and</w:t>
      </w:r>
    </w:p>
    <w:p>
      <w:pPr>
        <w:spacing w:before="0" w:after="0" w:line="408" w:lineRule="exact"/>
        <w:ind w:left="0" w:right="0" w:firstLine="576"/>
        <w:jc w:val="left"/>
      </w:pPr>
      <w:r>
        <w:rPr/>
        <w:t xml:space="preserve">(c) Synchronize Washington's policy for reducing industrial emissions with carbon border adjustment mechanisms as they are adopted by other jurisdictions that have enacted a carbon price, in a manner consistent with international trade law and the United States Constitution.</w:t>
      </w:r>
    </w:p>
    <w:p>
      <w:pPr>
        <w:spacing w:before="0" w:after="0" w:line="408" w:lineRule="exact"/>
        <w:ind w:left="0" w:right="0" w:firstLine="576"/>
        <w:jc w:val="left"/>
      </w:pPr>
      <w:r>
        <w:rPr/>
        <w:t xml:space="preserve">(3) It is the intent of the legislature, upon establishing a permanent policy applicable to emissions-intensive, trade-exposed facilities, to:</w:t>
      </w:r>
    </w:p>
    <w:p>
      <w:pPr>
        <w:spacing w:before="0" w:after="0" w:line="408" w:lineRule="exact"/>
        <w:ind w:left="0" w:right="0" w:firstLine="576"/>
        <w:jc w:val="left"/>
      </w:pPr>
      <w:r>
        <w:rPr/>
        <w:t xml:space="preserve">(a) Transition industrial boilers used in manufacturing to nonemitting technology, with a prioritization of transitioning:</w:t>
      </w:r>
    </w:p>
    <w:p>
      <w:pPr>
        <w:spacing w:before="0" w:after="0" w:line="408" w:lineRule="exact"/>
        <w:ind w:left="0" w:right="0" w:firstLine="576"/>
        <w:jc w:val="left"/>
      </w:pPr>
      <w:r>
        <w:rPr/>
        <w:t xml:space="preserve">(i) Boilers that burn coal or oil, followed by boilers that burn gas;</w:t>
      </w:r>
    </w:p>
    <w:p>
      <w:pPr>
        <w:spacing w:before="0" w:after="0" w:line="408" w:lineRule="exact"/>
        <w:ind w:left="0" w:right="0" w:firstLine="576"/>
        <w:jc w:val="left"/>
      </w:pPr>
      <w:r>
        <w:rPr/>
        <w:t xml:space="preserve">(ii) Boilers that are less energy-efficient or emissions-efficient over boilers that are comparatively more efficient; and</w:t>
      </w:r>
    </w:p>
    <w:p>
      <w:pPr>
        <w:spacing w:before="0" w:after="0" w:line="408" w:lineRule="exact"/>
        <w:ind w:left="0" w:right="0" w:firstLine="576"/>
        <w:jc w:val="left"/>
      </w:pPr>
      <w:r>
        <w:rPr/>
        <w:t xml:space="preserve">(iii) Larger boilers over smaller boilers;</w:t>
      </w:r>
    </w:p>
    <w:p>
      <w:pPr>
        <w:spacing w:before="0" w:after="0" w:line="408" w:lineRule="exact"/>
        <w:ind w:left="0" w:right="0" w:firstLine="576"/>
        <w:jc w:val="left"/>
      </w:pPr>
      <w:r>
        <w:rPr/>
        <w:t xml:space="preserve">(b) Transition industrial technologies that require temperatures that cannot be produced by electricity to renewable natural gas, renewable hydrogen, or other lower-emissions technologies;</w:t>
      </w:r>
    </w:p>
    <w:p>
      <w:pPr>
        <w:spacing w:before="0" w:after="0" w:line="408" w:lineRule="exact"/>
        <w:ind w:left="0" w:right="0" w:firstLine="576"/>
        <w:jc w:val="left"/>
      </w:pPr>
      <w:r>
        <w:rPr/>
        <w:t xml:space="preserve">(c) Maximize the use of building materials produced using versions of lower-emissions manufacturing processes, such as:</w:t>
      </w:r>
    </w:p>
    <w:p>
      <w:pPr>
        <w:spacing w:before="0" w:after="0" w:line="408" w:lineRule="exact"/>
        <w:ind w:left="0" w:right="0" w:firstLine="576"/>
        <w:jc w:val="left"/>
      </w:pPr>
      <w:r>
        <w:rPr/>
        <w:t xml:space="preserve">(i) Lower-emissions steel as compared to other forms of steel, prioritizing: (A) Recycled steel, followed by lower-emissions steel produced using renewable hydrogen or molten oxide electrolysis; and (B) to phase out the use of steel produced in a blast furnace; and</w:t>
      </w:r>
    </w:p>
    <w:p>
      <w:pPr>
        <w:spacing w:before="0" w:after="0" w:line="408" w:lineRule="exact"/>
        <w:ind w:left="0" w:right="0" w:firstLine="576"/>
        <w:jc w:val="left"/>
      </w:pPr>
      <w:r>
        <w:rPr/>
        <w:t xml:space="preserve">(ii) Low-clinker cement as compared to other forms of cement;</w:t>
      </w:r>
    </w:p>
    <w:p>
      <w:pPr>
        <w:spacing w:before="0" w:after="0" w:line="408" w:lineRule="exact"/>
        <w:ind w:left="0" w:right="0" w:firstLine="576"/>
        <w:jc w:val="left"/>
      </w:pPr>
      <w:r>
        <w:rPr/>
        <w:t xml:space="preserve">(d) Encourage recycling of emissions-intensive or energy-intensive products, including steel, aluminum, plastic, concrete, textiles, glass, and paper, where such recycling is less emissions-intensive from a life-cycle perspective than using nonrecycled manufacturing inputs; and</w:t>
      </w:r>
    </w:p>
    <w:p>
      <w:pPr>
        <w:spacing w:before="0" w:after="0" w:line="408" w:lineRule="exact"/>
        <w:ind w:left="0" w:right="0" w:firstLine="576"/>
        <w:jc w:val="left"/>
      </w:pPr>
      <w:r>
        <w:rPr/>
        <w:t xml:space="preserve">(e) Implement carbon capture and sequestration for the most difficult to decarbonize industrial processes, including cement production.</w:t>
      </w:r>
    </w:p>
    <w:p>
      <w:pPr>
        <w:spacing w:before="0" w:after="0" w:line="408" w:lineRule="exact"/>
        <w:ind w:left="0" w:right="0" w:firstLine="576"/>
        <w:jc w:val="left"/>
      </w:pPr>
      <w:r>
        <w:rPr/>
        <w:t xml:space="preserve">(4) It is the intent of the legislature to ensure that, just as emissions-intensive, trade-exposed facilities are given special consideration under this chapter due to their unique competitive environment and emissions portfolios, the compliance obligations of district energy facilities with emissions-intensive processes and unique commercial characteristics be established with special consideration given to the competitive market environment in which such facilities operate and the particular aspects of their emissions portfolios and potential for emission reductions or emission rate reductions to be achieved at such facilities.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0" w:after="0" w:line="408" w:lineRule="exact"/>
        <w:ind w:left="0" w:right="0" w:firstLine="576"/>
        <w:jc w:val="left"/>
      </w:pPr>
      <w:r>
        <w:rPr>
          <w:u w:val="single"/>
        </w:rPr>
        <w:t xml:space="preserve">(69) "District energy facility" means a covered entity with the North American industry classification system code 221330, as that classification existed as of January 1, 2021, that serves at least 100 public or private customers, or both, within a municipality, city, or town with steam, heated air, or cooled 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waste to energy facility utilized by a county and city solid waste management program and the facility's emissions equal or exceed 25,000 metric tons of carbon dioxide equivalent</w:t>
      </w:r>
      <w:r>
        <w:rPr>
          <w:u w:val="single"/>
        </w:rPr>
        <w:t xml:space="preserve">; or</w:t>
      </w:r>
    </w:p>
    <w:p>
      <w:pPr>
        <w:spacing w:before="0" w:after="0" w:line="408" w:lineRule="exact"/>
        <w:ind w:left="0" w:right="0" w:firstLine="576"/>
        <w:jc w:val="left"/>
      </w:pPr>
      <w:r>
        <w:rPr>
          <w:u w:val="single"/>
        </w:rPr>
        <w:t xml:space="preserve">(b) A district energy facility and the facility's emissions equal or exceed 25,000 metric tons of carbon dioxide equivalent, but only if determined by the department by rule adopted under section 7 of this act</w:t>
      </w:r>
      <w:r>
        <w:rPr/>
        <w:t xml:space="preserve">.</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p>
    <w:p>
      <w:pPr>
        <w:spacing w:before="0" w:after="0" w:line="408" w:lineRule="exact"/>
        <w:ind w:left="0" w:right="0" w:firstLine="576"/>
        <w:jc w:val="left"/>
      </w:pPr>
      <w:r>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t xml:space="preserve">(ii)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(b) Subsection (a) of this subsection does not apply to owners or operators of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By June 1, 2026, the department must by rule determine whether to regulate district energy facilities under this chapter through some combination of the following:</w:t>
      </w:r>
    </w:p>
    <w:p>
      <w:pPr>
        <w:spacing w:before="0" w:after="0" w:line="408" w:lineRule="exact"/>
        <w:ind w:left="0" w:right="0" w:firstLine="576"/>
        <w:jc w:val="left"/>
      </w:pPr>
      <w:r>
        <w:rPr/>
        <w:t xml:space="preserve">(i) As covered entities as of the beginning of the second compliance period as specified in RCW 70A.65.080(2)(b);</w:t>
      </w:r>
    </w:p>
    <w:p>
      <w:pPr>
        <w:spacing w:before="0" w:after="0" w:line="408" w:lineRule="exact"/>
        <w:ind w:left="0" w:right="0" w:firstLine="576"/>
        <w:jc w:val="left"/>
      </w:pPr>
      <w:r>
        <w:rPr/>
        <w:t xml:space="preserve">(ii) As covered entities as of the date later than the beginning of the second compliance period;</w:t>
      </w:r>
    </w:p>
    <w:p>
      <w:pPr>
        <w:spacing w:before="0" w:after="0" w:line="408" w:lineRule="exact"/>
        <w:ind w:left="0" w:right="0" w:firstLine="576"/>
        <w:jc w:val="left"/>
      </w:pPr>
      <w:r>
        <w:rPr/>
        <w:t xml:space="preserve">(iii) In a manner comparable to emissions-intensive, trade-exposed facilities subject to RCW 70A.65.110;</w:t>
      </w:r>
    </w:p>
    <w:p>
      <w:pPr>
        <w:spacing w:before="0" w:after="0" w:line="408" w:lineRule="exact"/>
        <w:ind w:left="0" w:right="0" w:firstLine="576"/>
        <w:jc w:val="left"/>
      </w:pPr>
      <w:r>
        <w:rPr/>
        <w:t xml:space="preserve">(iv) In a manner comparable to the regulation of natural gas utilities under RCW 70A.65.130; or</w:t>
      </w:r>
    </w:p>
    <w:p>
      <w:pPr>
        <w:spacing w:before="0" w:after="0" w:line="408" w:lineRule="exact"/>
        <w:ind w:left="0" w:right="0" w:firstLine="576"/>
        <w:jc w:val="left"/>
      </w:pPr>
      <w:r>
        <w:rPr/>
        <w:t xml:space="preserve">(v) By some other method.</w:t>
      </w:r>
    </w:p>
    <w:p>
      <w:pPr>
        <w:spacing w:before="0" w:after="0" w:line="408" w:lineRule="exact"/>
        <w:ind w:left="0" w:right="0" w:firstLine="576"/>
        <w:jc w:val="left"/>
      </w:pPr>
      <w:r>
        <w:rPr/>
        <w:t xml:space="preserve">(b) The department may adopt rules that achieve any of the outcomes specified in (a) of this subsection with respect to district energy facilities and may allocate allowances to such facilities consistent with its determination under (a) of this subsection.</w:t>
      </w:r>
    </w:p>
    <w:p>
      <w:pPr>
        <w:spacing w:before="0" w:after="0" w:line="408" w:lineRule="exact"/>
        <w:ind w:left="0" w:right="0" w:firstLine="576"/>
        <w:jc w:val="left"/>
      </w:pPr>
      <w:r>
        <w:rPr/>
        <w:t xml:space="preserve">(2) To allow the department to adopt a rule under this section, the department may demand information from a district energy facility consistent with RCW 70A.65.110(9).</w:t>
      </w:r>
    </w:p>
    <w:p/>
    <w:p>
      <w:pPr>
        <w:jc w:val="center"/>
      </w:pPr>
      <w:r>
        <w:rPr>
          <w:b/>
        </w:rPr>
        <w:t>--- END ---</w:t>
      </w:r>
    </w:p>
    <w:sectPr>
      <w:pgNumType w:start="1"/>
      <w:footerReference xmlns:r="http://schemas.openxmlformats.org/officeDocument/2006/relationships" r:id="R6b6582ffb80740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86eca54f644d83" /><Relationship Type="http://schemas.openxmlformats.org/officeDocument/2006/relationships/footer" Target="/word/footer1.xml" Id="R6b6582ffb807409a" /></Relationships>
</file>