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a30e67a5b4b64" /></Relationships>
</file>

<file path=word/document.xml><?xml version="1.0" encoding="utf-8"?>
<w:document xmlns:w="http://schemas.openxmlformats.org/wordprocessingml/2006/main">
  <w:body>
    <w:p>
      <w:r>
        <w:t>H-2318.1</w:t>
      </w:r>
    </w:p>
    <w:p>
      <w:pPr>
        <w:jc w:val="center"/>
      </w:pPr>
      <w:r>
        <w:t>_______________________________________________</w:t>
      </w:r>
    </w:p>
    <w:p/>
    <w:p>
      <w:pPr>
        <w:jc w:val="center"/>
      </w:pPr>
      <w:r>
        <w:rPr>
          <w:b/>
        </w:rPr>
        <w:t>SUBSTITUTE HOUSE BILL 1712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Dent, Riccelli, Dufault, Eslick, and Griffey)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airport commissions;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two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 and</w:t>
      </w:r>
    </w:p>
    <w:p>
      <w:pPr>
        <w:spacing w:before="0" w:after="0" w:line="408" w:lineRule="exact"/>
        <w:ind w:left="0" w:right="0" w:firstLine="576"/>
        <w:jc w:val="left"/>
      </w:pPr>
      <w:r>
        <w:rPr>
          <w:u w:val="single"/>
        </w:rPr>
        <w:t xml:space="preserve">(D)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The governing body of a municipality with an existing municipal airport commission must pass a resolution within two years from the effective date of this section and every two years thereafter to reauthorize the municipal airport commission. A municipality that creates a municipal airport commission after the effective date of this section must reauthorize the municipal airport commission every two years thereafter. A municipal airport commission is dissolved if the governing authority does not pass a resolution as required by this subsection. Any moneys or funds of the dissolved commission must be used, to the extent necessary, for the payment or settlement of any outstanding obligations or liabilities of the dissolved commission. Thereafter, any remaining moneys, funds, or property become the property of the municipality that created the commission.</w:t>
      </w:r>
    </w:p>
    <w:p>
      <w:pPr>
        <w:spacing w:before="0" w:after="0" w:line="408" w:lineRule="exact"/>
        <w:ind w:left="0" w:right="0" w:firstLine="576"/>
        <w:jc w:val="left"/>
      </w:pPr>
      <w:r>
        <w:rPr>
          <w:u w:val="single"/>
        </w:rPr>
        <w:t xml:space="preserve">(iv)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w:t>
      </w:r>
      <w:r>
        <w:rPr>
          <w:u w:val="single"/>
        </w:rPr>
        <w:t xml:space="preserve">that has been made before the effective date of this section</w:t>
      </w:r>
      <w:r>
        <w:rPr/>
        <w:t xml:space="preserve"> may be made for any period not </w:t>
      </w:r>
      <w:r>
        <w:t>((</w:t>
      </w:r>
      <w:r>
        <w:rPr>
          <w:strike/>
        </w:rPr>
        <w:t xml:space="preserve">to exceed seventy-five years, but any</w:t>
      </w:r>
      <w:r>
        <w:t>))</w:t>
      </w:r>
      <w:r>
        <w:rPr/>
        <w:t xml:space="preserve"> </w:t>
      </w:r>
      <w:r>
        <w:rPr>
          <w:u w:val="single"/>
        </w:rPr>
        <w:t xml:space="preserve">exceeding 75 years, while such a lease made after the effective date of this section may not exceed 50 years. Any</w:t>
      </w:r>
      <w:r>
        <w:rPr/>
        <w:t xml:space="preserve">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d07106262b6549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f17750ac444c6" /><Relationship Type="http://schemas.openxmlformats.org/officeDocument/2006/relationships/footer" Target="/word/footer1.xml" Id="Rd07106262b6549c8" /></Relationships>
</file>