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6763ce0934efe" /></Relationships>
</file>

<file path=word/document.xml><?xml version="1.0" encoding="utf-8"?>
<w:document xmlns:w="http://schemas.openxmlformats.org/wordprocessingml/2006/main">
  <w:body>
    <w:p>
      <w:r>
        <w:t>H-1851.3</w:t>
      </w:r>
    </w:p>
    <w:p>
      <w:pPr>
        <w:jc w:val="center"/>
      </w:pPr>
      <w:r>
        <w:t>_______________________________________________</w:t>
      </w:r>
    </w:p>
    <w:p/>
    <w:p>
      <w:pPr>
        <w:jc w:val="center"/>
      </w:pPr>
      <w:r>
        <w:rPr>
          <w:b/>
        </w:rPr>
        <w:t>HOUSE BILL 1733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Macri, J. Johnson, Leavitt, Bronoske, Chapman, Senn, Berry, Cody, Dolan, Fey, Peterson, Ryu, Santos, Shewmake, Wylie, Simmons, Callan, Chopp, Slatter, Ramos, Bergquist, Tharinger, Valdez, Thai, Pollet, Morgan, Taylor, Stonier, Ortiz-Self, Gregerson, Riccelli, Davis, Ormsby, Duerr, Orwall, Bateman, Kloba, and Frame</w:t>
      </w:r>
    </w:p>
    <w:p/>
    <w:p>
      <w:r>
        <w:rPr>
          <w:t xml:space="preserve">Prefiled 01/03/22.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voluntary exemptions to the long-term services and supports trust program for certain populations identified in the long-term services and supports trust commission's 2022 recommendations report, specifically including exemptions only for veterans with a service-connected disability of 70 percent or higher, the spouses or domestic partners of active duty service members, persons residing outside of Washington while working in Washington, and persons working in the United States under a temporary, nonimmigrant work visa; amending RCW 50B.04.080;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and</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 (5), or (6)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Within 90 days of the occurrence of either of the events in (a) of this subsection,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either of the events in (a) of this subsection;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the employee shall begin paying the premium established under RCW 50B.04.080 and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the occurrence of either of the events in (a) of this subsection shall result in the payment of any unpaid premiums, with interest, by the employee to the employment security department from the date on which the payment should have begun.</w:t>
      </w:r>
    </w:p>
    <w:p>
      <w:pPr>
        <w:spacing w:before="0" w:after="0" w:line="408" w:lineRule="exact"/>
        <w:ind w:left="0" w:right="0" w:firstLine="576"/>
        <w:jc w:val="left"/>
      </w:pPr>
      <w:r>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the employee shall begin paying the premium established under RCW 50B.04.080 and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with interest, by the employee to the employment security department from the date on which the payment should have begun.</w:t>
      </w:r>
    </w:p>
    <w:p>
      <w:pPr>
        <w:spacing w:before="0" w:after="0" w:line="408" w:lineRule="exact"/>
        <w:ind w:left="0" w:right="0" w:firstLine="576"/>
        <w:jc w:val="left"/>
      </w:pPr>
      <w:r>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the employee shall begin paying the premium established under RCW 50B.04.080 and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establishing a permanent address within Washington as the employee's primary location of residence shall result in the payment of any unpaid premiums, with interest, by the employee to the employment security department from the date on which the payment should have begun.</w:t>
      </w:r>
    </w:p>
    <w:p>
      <w:pPr>
        <w:spacing w:before="0" w:after="0" w:line="408" w:lineRule="exact"/>
        <w:ind w:left="0" w:right="0" w:firstLine="576"/>
        <w:jc w:val="left"/>
      </w:pPr>
      <w:r>
        <w:rPr/>
        <w:t xml:space="preserve">(7) Exempt employees are not entitled to a refund of any premium deductions made before the effective date of an approved exemption.</w:t>
      </w:r>
    </w:p>
    <w:p>
      <w:pPr>
        <w:spacing w:before="0" w:after="0" w:line="408" w:lineRule="exact"/>
        <w:ind w:left="0" w:right="0" w:firstLine="576"/>
        <w:jc w:val="left"/>
      </w:pPr>
      <w:r>
        <w:rPr/>
        <w:t xml:space="preserve">(8)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rPr/>
        <w:t xml:space="preserve">(9)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(10)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(11) The provisions of RCW 50B.04.085 do not apply to the exemptions issued pursuant to this section.</w:t>
      </w:r>
    </w:p>
    <w:p>
      <w:pPr>
        <w:spacing w:before="0" w:after="0" w:line="408" w:lineRule="exact"/>
        <w:ind w:left="0" w:right="0" w:firstLine="576"/>
        <w:jc w:val="left"/>
      </w:pPr>
      <w:r>
        <w:rPr/>
        <w:t xml:space="preserve">(12) The employment security department shall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d07de3585277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0cb361f2bb43f5" /><Relationship Type="http://schemas.openxmlformats.org/officeDocument/2006/relationships/footer" Target="/word/footer1.xml" Id="Rd07de358527745bd" /></Relationships>
</file>